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6" w:type="dxa"/>
        <w:tblInd w:w="-768" w:type="dxa"/>
        <w:tblLayout w:type="fixed"/>
        <w:tblLook w:val="01E0"/>
      </w:tblPr>
      <w:tblGrid>
        <w:gridCol w:w="1358"/>
        <w:gridCol w:w="9358"/>
      </w:tblGrid>
      <w:tr w:rsidR="00781FE2" w:rsidRPr="00F06571" w:rsidTr="00BE2FED">
        <w:trPr>
          <w:trHeight w:val="12420"/>
        </w:trPr>
        <w:tc>
          <w:tcPr>
            <w:tcW w:w="1358" w:type="dxa"/>
          </w:tcPr>
          <w:p w:rsidR="00781FE2" w:rsidRPr="00F06571" w:rsidRDefault="00781FE2" w:rsidP="00763F7E">
            <w:pPr>
              <w:spacing w:line="360" w:lineRule="auto"/>
              <w:jc w:val="both"/>
              <w:rPr>
                <w:sz w:val="28"/>
                <w:szCs w:val="28"/>
              </w:rPr>
            </w:pPr>
            <w:r w:rsidRPr="004D4DF2">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ntet-BI_-2009_01" style="width:53.25pt;height:486.75pt;visibility:visible">
                  <v:imagedata r:id="rId7" o:title=""/>
                </v:shape>
              </w:pict>
            </w:r>
          </w:p>
        </w:tc>
        <w:tc>
          <w:tcPr>
            <w:tcW w:w="9358" w:type="dxa"/>
          </w:tcPr>
          <w:p w:rsidR="00781FE2" w:rsidRPr="00F06571" w:rsidRDefault="00781FE2" w:rsidP="00FC2249">
            <w:pPr>
              <w:jc w:val="center"/>
              <w:rPr>
                <w:b/>
                <w:sz w:val="28"/>
                <w:szCs w:val="28"/>
              </w:rPr>
            </w:pPr>
            <w:r w:rsidRPr="00F06571">
              <w:rPr>
                <w:b/>
                <w:sz w:val="28"/>
                <w:szCs w:val="28"/>
              </w:rPr>
              <w:t>MINISTERUL AFACERILOR INTERNE</w:t>
            </w:r>
          </w:p>
          <w:p w:rsidR="00781FE2" w:rsidRPr="00F06571" w:rsidRDefault="00781FE2" w:rsidP="00FC2249">
            <w:pPr>
              <w:jc w:val="center"/>
              <w:rPr>
                <w:b/>
                <w:sz w:val="28"/>
                <w:szCs w:val="28"/>
              </w:rPr>
            </w:pPr>
            <w:r w:rsidRPr="00F06571">
              <w:rPr>
                <w:b/>
                <w:sz w:val="28"/>
                <w:szCs w:val="28"/>
              </w:rPr>
              <w:t>DIRECŢIA INFORMARE ŞI RELAŢII PUBLICE</w:t>
            </w:r>
          </w:p>
          <w:p w:rsidR="00781FE2" w:rsidRPr="00F06571" w:rsidRDefault="00781FE2" w:rsidP="00FC2249">
            <w:pPr>
              <w:jc w:val="center"/>
              <w:rPr>
                <w:b/>
                <w:sz w:val="28"/>
                <w:szCs w:val="28"/>
              </w:rPr>
            </w:pPr>
            <w:r w:rsidRPr="00F06571">
              <w:rPr>
                <w:b/>
                <w:sz w:val="28"/>
                <w:szCs w:val="28"/>
              </w:rPr>
              <w:t>CENTRUL DE PRESĂ</w:t>
            </w:r>
          </w:p>
          <w:p w:rsidR="00781FE2" w:rsidRPr="00F06571" w:rsidRDefault="00781FE2" w:rsidP="00FC2249">
            <w:pPr>
              <w:jc w:val="center"/>
              <w:rPr>
                <w:b/>
                <w:sz w:val="28"/>
                <w:szCs w:val="28"/>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300.5pt;margin-top:5.7pt;width:144.75pt;height:39.8pt;z-index:251658240" filled="f" stroked="f">
                  <v:textbox style="mso-next-textbox:#_x0000_s1026">
                    <w:txbxContent>
                      <w:p w:rsidR="00781FE2" w:rsidRPr="003A2FA6" w:rsidRDefault="00781FE2" w:rsidP="00FB188A">
                        <w:pPr>
                          <w:rPr>
                            <w:b/>
                            <w:sz w:val="26"/>
                            <w:szCs w:val="26"/>
                          </w:rPr>
                        </w:pPr>
                        <w:r>
                          <w:rPr>
                            <w:b/>
                            <w:sz w:val="26"/>
                            <w:szCs w:val="26"/>
                          </w:rPr>
                          <w:t>Bucureşti, 28.06.2016</w:t>
                        </w:r>
                      </w:p>
                      <w:p w:rsidR="00781FE2" w:rsidRPr="003A2FA6" w:rsidRDefault="00781FE2" w:rsidP="00FB188A">
                        <w:pPr>
                          <w:rPr>
                            <w:b/>
                            <w:sz w:val="26"/>
                            <w:szCs w:val="26"/>
                            <w:lang w:val="pt-BR"/>
                          </w:rPr>
                        </w:pPr>
                        <w:r w:rsidRPr="003A2FA6">
                          <w:rPr>
                            <w:b/>
                            <w:sz w:val="26"/>
                            <w:szCs w:val="26"/>
                          </w:rPr>
                          <w:t xml:space="preserve">Nr. </w:t>
                        </w:r>
                        <w:r>
                          <w:rPr>
                            <w:b/>
                            <w:sz w:val="26"/>
                            <w:szCs w:val="26"/>
                          </w:rPr>
                          <w:t>4673224</w:t>
                        </w:r>
                      </w:p>
                    </w:txbxContent>
                  </v:textbox>
                </v:shape>
              </w:pict>
            </w:r>
          </w:p>
          <w:p w:rsidR="00781FE2" w:rsidRPr="00F06571" w:rsidRDefault="00781FE2" w:rsidP="00FC2249">
            <w:pPr>
              <w:tabs>
                <w:tab w:val="left" w:pos="5625"/>
              </w:tabs>
              <w:autoSpaceDE w:val="0"/>
              <w:autoSpaceDN w:val="0"/>
              <w:adjustRightInd w:val="0"/>
              <w:jc w:val="center"/>
              <w:rPr>
                <w:bCs/>
                <w:sz w:val="28"/>
                <w:szCs w:val="28"/>
                <w:lang w:eastAsia="en-US"/>
              </w:rPr>
            </w:pPr>
            <w:r w:rsidRPr="00F06571">
              <w:rPr>
                <w:bCs/>
                <w:sz w:val="28"/>
                <w:szCs w:val="28"/>
                <w:lang w:eastAsia="en-US"/>
              </w:rPr>
              <w:t xml:space="preserve"> </w:t>
            </w:r>
          </w:p>
          <w:p w:rsidR="00781FE2" w:rsidRPr="00F06571" w:rsidRDefault="00781FE2" w:rsidP="00FC2249">
            <w:pPr>
              <w:jc w:val="center"/>
              <w:rPr>
                <w:b/>
                <w:sz w:val="28"/>
                <w:szCs w:val="28"/>
              </w:rPr>
            </w:pPr>
          </w:p>
          <w:p w:rsidR="00781FE2" w:rsidRPr="008213AD" w:rsidRDefault="00781FE2" w:rsidP="00F15C1A">
            <w:pPr>
              <w:rPr>
                <w:b/>
                <w:i/>
                <w:sz w:val="10"/>
                <w:szCs w:val="10"/>
              </w:rPr>
            </w:pPr>
          </w:p>
          <w:p w:rsidR="00781FE2" w:rsidRPr="001023EC" w:rsidRDefault="00781FE2" w:rsidP="001B6C21">
            <w:pPr>
              <w:rPr>
                <w:b/>
                <w:i/>
                <w:sz w:val="28"/>
                <w:szCs w:val="28"/>
              </w:rPr>
            </w:pPr>
            <w:r w:rsidRPr="001023EC">
              <w:rPr>
                <w:b/>
                <w:i/>
                <w:sz w:val="28"/>
                <w:szCs w:val="28"/>
              </w:rPr>
              <w:t>Domnului Firicel Alexandru – preşedinte al organizaţiei SPR ”DIAMANTUL” constituită la nivelul DGPMB – secţia 13 Poliţie</w:t>
            </w:r>
          </w:p>
          <w:p w:rsidR="00781FE2" w:rsidRPr="008213AD" w:rsidRDefault="00781FE2" w:rsidP="00F9560A">
            <w:pPr>
              <w:spacing w:line="360" w:lineRule="auto"/>
              <w:jc w:val="both"/>
              <w:rPr>
                <w:sz w:val="16"/>
                <w:szCs w:val="16"/>
              </w:rPr>
            </w:pPr>
            <w:r w:rsidRPr="001023EC">
              <w:rPr>
                <w:sz w:val="28"/>
                <w:szCs w:val="28"/>
              </w:rPr>
              <w:t xml:space="preserve">       </w:t>
            </w:r>
          </w:p>
          <w:p w:rsidR="00781FE2" w:rsidRDefault="00781FE2" w:rsidP="001F151F">
            <w:pPr>
              <w:tabs>
                <w:tab w:val="left" w:pos="0"/>
              </w:tabs>
              <w:spacing w:line="276" w:lineRule="auto"/>
              <w:ind w:right="-28"/>
              <w:jc w:val="both"/>
              <w:rPr>
                <w:sz w:val="28"/>
                <w:szCs w:val="28"/>
              </w:rPr>
            </w:pPr>
            <w:r w:rsidRPr="001023EC">
              <w:rPr>
                <w:sz w:val="28"/>
                <w:szCs w:val="28"/>
              </w:rPr>
              <w:t xml:space="preserve">     </w:t>
            </w:r>
            <w:r>
              <w:rPr>
                <w:sz w:val="28"/>
                <w:szCs w:val="28"/>
              </w:rPr>
              <w:t xml:space="preserve"> </w:t>
            </w:r>
            <w:r w:rsidRPr="001023EC">
              <w:rPr>
                <w:sz w:val="28"/>
                <w:szCs w:val="28"/>
              </w:rPr>
              <w:t xml:space="preserve">În legătură cu solicitarea dumneavoastră, formulată în temeiul </w:t>
            </w:r>
            <w:r w:rsidRPr="001023EC">
              <w:rPr>
                <w:i/>
                <w:iCs/>
                <w:sz w:val="28"/>
                <w:szCs w:val="28"/>
              </w:rPr>
              <w:t>Legii nr.544/2001 privind liberul acces la informaţiile de interes public</w:t>
            </w:r>
            <w:r w:rsidRPr="001023EC">
              <w:rPr>
                <w:sz w:val="28"/>
                <w:szCs w:val="28"/>
              </w:rPr>
              <w:t>, înregistrată la Direcţia Informare şi Relaţii Publice cu numărul de mai sus, vă aducem la cunoştinţă următoarele:</w:t>
            </w:r>
          </w:p>
          <w:p w:rsidR="00781FE2" w:rsidRPr="0078056E" w:rsidRDefault="00781FE2" w:rsidP="00E71A66">
            <w:pPr>
              <w:pStyle w:val="BodyText"/>
              <w:spacing w:line="100" w:lineRule="atLeast"/>
              <w:jc w:val="both"/>
              <w:rPr>
                <w:sz w:val="28"/>
                <w:szCs w:val="28"/>
              </w:rPr>
            </w:pPr>
            <w:r w:rsidRPr="0078056E">
              <w:rPr>
                <w:sz w:val="28"/>
                <w:szCs w:val="28"/>
              </w:rPr>
              <w:t xml:space="preserve">     </w:t>
            </w:r>
            <w:r>
              <w:rPr>
                <w:sz w:val="28"/>
                <w:szCs w:val="28"/>
              </w:rPr>
              <w:t>În conformitate cu prevederile</w:t>
            </w:r>
            <w:r w:rsidRPr="0078056E">
              <w:rPr>
                <w:sz w:val="28"/>
                <w:szCs w:val="28"/>
              </w:rPr>
              <w:t xml:space="preserve"> art. 32 alin. (1) din Legea nr. 360/2002 </w:t>
            </w:r>
            <w:r w:rsidRPr="0078056E">
              <w:rPr>
                <w:i/>
                <w:sz w:val="28"/>
                <w:szCs w:val="28"/>
              </w:rPr>
              <w:t>privind Statutul poliţistului</w:t>
            </w:r>
            <w:r w:rsidRPr="0078056E">
              <w:rPr>
                <w:sz w:val="28"/>
                <w:szCs w:val="28"/>
              </w:rPr>
              <w:t>, cu modificările şi completările ulterioare, poliţistul va fi sprijinit în construirea sau cumpărarea, o singura data în timpul carierei, a unei locuinţe proprietate personală în localitatea în care îşi are sediul unitatea de poliţie la care este încadrat, în condiţiile legii.</w:t>
            </w:r>
          </w:p>
          <w:p w:rsidR="00781FE2" w:rsidRPr="0078056E" w:rsidRDefault="00781FE2" w:rsidP="007D0CF2">
            <w:pPr>
              <w:pStyle w:val="BodyText"/>
              <w:spacing w:line="100" w:lineRule="atLeast"/>
              <w:jc w:val="both"/>
              <w:rPr>
                <w:sz w:val="28"/>
                <w:szCs w:val="28"/>
              </w:rPr>
            </w:pPr>
            <w:r>
              <w:rPr>
                <w:sz w:val="28"/>
                <w:szCs w:val="28"/>
              </w:rPr>
              <w:t xml:space="preserve">     </w:t>
            </w:r>
            <w:r w:rsidRPr="0078056E">
              <w:rPr>
                <w:sz w:val="28"/>
                <w:szCs w:val="28"/>
              </w:rPr>
              <w:t xml:space="preserve">Conform prevederilor art. 17 alin. (5) şi (6) din </w:t>
            </w:r>
            <w:r w:rsidRPr="0078056E">
              <w:rPr>
                <w:bCs/>
                <w:sz w:val="28"/>
                <w:szCs w:val="28"/>
              </w:rPr>
              <w:t xml:space="preserve">Ordonanţa de urgenţă a Guvernului nr. 30/2007 </w:t>
            </w:r>
            <w:r w:rsidRPr="0078056E">
              <w:rPr>
                <w:bCs/>
                <w:i/>
                <w:sz w:val="28"/>
                <w:szCs w:val="28"/>
              </w:rPr>
              <w:t>privind organizarea şi funcţionarea Ministerului Afacerilor Interne</w:t>
            </w:r>
            <w:r w:rsidRPr="0078056E">
              <w:rPr>
                <w:bCs/>
                <w:sz w:val="28"/>
                <w:szCs w:val="28"/>
              </w:rPr>
              <w:t xml:space="preserve">, cu modificările şi completările ulterioare:„(5) M.A.I. </w:t>
            </w:r>
            <w:r w:rsidRPr="0078056E">
              <w:rPr>
                <w:sz w:val="28"/>
                <w:szCs w:val="28"/>
              </w:rPr>
              <w:t>poate desfăşura programe pentru construirea de locuinţe, proprietate a personalului instituţiei, din fondurile beneficiarilor, pe terenuri disponibile proprietate publică a statului, aflate în administrarea ministerului.</w:t>
            </w:r>
            <w:r>
              <w:rPr>
                <w:sz w:val="28"/>
                <w:szCs w:val="28"/>
              </w:rPr>
              <w:t xml:space="preserve"> </w:t>
            </w:r>
            <w:r w:rsidRPr="0078056E">
              <w:rPr>
                <w:sz w:val="28"/>
                <w:szCs w:val="28"/>
              </w:rPr>
              <w:t>(6) Terenurile prevăzute la alin. (5) se trec, în condiţiile legii, din domeniul public în domeniul privat al statului, proprietarii locuinţelor dobândind, în condiţiile stabilite prin hotărâre a Guvernului, un drept de folosinţă oneros asupra terenurilor pe durata existenţei construcţiilor.”</w:t>
            </w:r>
          </w:p>
          <w:p w:rsidR="00781FE2" w:rsidRPr="0078056E" w:rsidRDefault="00781FE2" w:rsidP="0078056E">
            <w:pPr>
              <w:jc w:val="both"/>
              <w:rPr>
                <w:sz w:val="28"/>
                <w:szCs w:val="28"/>
              </w:rPr>
            </w:pPr>
            <w:r>
              <w:rPr>
                <w:sz w:val="28"/>
                <w:szCs w:val="28"/>
              </w:rPr>
              <w:t xml:space="preserve">     </w:t>
            </w:r>
            <w:r w:rsidRPr="0078056E">
              <w:rPr>
                <w:sz w:val="28"/>
                <w:szCs w:val="28"/>
              </w:rPr>
              <w:t xml:space="preserve"> Modalitatea de aplicare a prevederilor art. 17 alin. (5) şi (6) din </w:t>
            </w:r>
            <w:r w:rsidRPr="0078056E">
              <w:rPr>
                <w:bCs/>
                <w:sz w:val="28"/>
                <w:szCs w:val="28"/>
              </w:rPr>
              <w:t xml:space="preserve">Ordonanţa de urgenţă a Guvernului nr. 30/2007 </w:t>
            </w:r>
            <w:r w:rsidRPr="0078056E">
              <w:rPr>
                <w:i/>
                <w:sz w:val="28"/>
                <w:szCs w:val="28"/>
              </w:rPr>
              <w:t>privind organizarea şi funcţionarea Ministerului Afacerilor Interne</w:t>
            </w:r>
            <w:r w:rsidRPr="0078056E">
              <w:rPr>
                <w:bCs/>
                <w:sz w:val="28"/>
                <w:szCs w:val="28"/>
              </w:rPr>
              <w:t xml:space="preserve">, cu modificările şi completările ulterioare, este stabilită prin Ordinul ministrului afacerilor interne nr. 129/2010 </w:t>
            </w:r>
            <w:r w:rsidRPr="0078056E">
              <w:rPr>
                <w:bCs/>
                <w:i/>
                <w:sz w:val="28"/>
                <w:szCs w:val="28"/>
              </w:rPr>
              <w:t>privind construirea de locuinţe proprietate a personalului instituţiei, din fondurile beneficiarilor, prin programe coordonate de Ministerul Afacerilor Interne</w:t>
            </w:r>
            <w:r w:rsidRPr="0078056E">
              <w:rPr>
                <w:bCs/>
                <w:sz w:val="28"/>
                <w:szCs w:val="28"/>
              </w:rPr>
              <w:t>.</w:t>
            </w:r>
            <w:r w:rsidRPr="0078056E">
              <w:rPr>
                <w:noProof/>
                <w:sz w:val="28"/>
                <w:szCs w:val="28"/>
              </w:rPr>
              <w:t xml:space="preserve"> Astfel, Ordinul ministrului afacerilor interne nr. 129/2010 </w:t>
            </w:r>
            <w:r w:rsidRPr="0078056E">
              <w:rPr>
                <w:bCs/>
                <w:sz w:val="28"/>
                <w:szCs w:val="28"/>
              </w:rPr>
              <w:t xml:space="preserve">are ca scop </w:t>
            </w:r>
            <w:r w:rsidRPr="0078056E">
              <w:rPr>
                <w:sz w:val="28"/>
                <w:szCs w:val="28"/>
              </w:rPr>
              <w:t xml:space="preserve">aplicarea prevederilor </w:t>
            </w:r>
            <w:r w:rsidRPr="007D0CF2">
              <w:rPr>
                <w:rStyle w:val="panchor1"/>
                <w:rFonts w:ascii="Times New Roman" w:hAnsi="Times New Roman" w:cs="Times New Roman"/>
                <w:color w:val="auto"/>
                <w:sz w:val="28"/>
                <w:szCs w:val="28"/>
                <w:u w:val="none"/>
              </w:rPr>
              <w:t>art. 17 alin. (5) din Ordonanţa de urgenţă a Guvernului nr. 30/2007</w:t>
            </w:r>
            <w:r w:rsidRPr="0078056E">
              <w:rPr>
                <w:sz w:val="28"/>
                <w:szCs w:val="28"/>
              </w:rPr>
              <w:t>, cu modificările şi completările ulterioare, în preambulul ordinului facându-se referire şi la prevederile art. 32 din Legea nr. 360/2002, cu modificările şi completările ulterioare.</w:t>
            </w:r>
          </w:p>
          <w:p w:rsidR="00781FE2" w:rsidRDefault="00781FE2" w:rsidP="0078056E">
            <w:pPr>
              <w:jc w:val="both"/>
              <w:rPr>
                <w:sz w:val="28"/>
                <w:szCs w:val="28"/>
              </w:rPr>
            </w:pPr>
            <w:r>
              <w:rPr>
                <w:noProof/>
                <w:sz w:val="28"/>
                <w:szCs w:val="28"/>
              </w:rPr>
              <w:t xml:space="preserve">     Potrivit</w:t>
            </w:r>
            <w:r w:rsidRPr="0078056E">
              <w:rPr>
                <w:noProof/>
                <w:sz w:val="28"/>
                <w:szCs w:val="28"/>
              </w:rPr>
              <w:t xml:space="preserve"> prevederilor art. 21 alin. (1) din Legea nr. 500/2002 </w:t>
            </w:r>
            <w:r w:rsidRPr="0078056E">
              <w:rPr>
                <w:i/>
                <w:noProof/>
                <w:sz w:val="28"/>
                <w:szCs w:val="28"/>
              </w:rPr>
              <w:t>privind finanţele publice</w:t>
            </w:r>
            <w:r w:rsidRPr="0078056E">
              <w:rPr>
                <w:noProof/>
                <w:sz w:val="28"/>
                <w:szCs w:val="28"/>
              </w:rPr>
              <w:t>, cu modificările şi completările ulterioare:</w:t>
            </w:r>
            <w:r>
              <w:rPr>
                <w:noProof/>
                <w:sz w:val="28"/>
                <w:szCs w:val="28"/>
              </w:rPr>
              <w:t xml:space="preserve"> </w:t>
            </w:r>
            <w:r w:rsidRPr="0078056E">
              <w:rPr>
                <w:sz w:val="28"/>
                <w:szCs w:val="28"/>
              </w:rPr>
              <w:t>„Ordonatorii principali de credite repartizează creditele de angajament şi creditele bugetare aprobate pentru bugetul propriu şi pentru bugetele instituţiilor publice din subordine sau coordonare, ai căror conducători sunt ordonatori secundari sau terţiari de credite, după caz, în raport cu sarcinile acestora, potrivit legii.”</w:t>
            </w:r>
          </w:p>
          <w:p w:rsidR="00781FE2" w:rsidRDefault="00781FE2" w:rsidP="0078056E">
            <w:pPr>
              <w:jc w:val="both"/>
              <w:rPr>
                <w:noProof/>
                <w:sz w:val="10"/>
                <w:szCs w:val="10"/>
              </w:rPr>
            </w:pPr>
          </w:p>
          <w:p w:rsidR="00781FE2" w:rsidRDefault="00781FE2" w:rsidP="0078056E">
            <w:pPr>
              <w:jc w:val="both"/>
              <w:rPr>
                <w:noProof/>
                <w:sz w:val="10"/>
                <w:szCs w:val="10"/>
              </w:rPr>
            </w:pPr>
          </w:p>
          <w:p w:rsidR="00781FE2" w:rsidRDefault="00781FE2" w:rsidP="0078056E">
            <w:pPr>
              <w:jc w:val="both"/>
              <w:rPr>
                <w:noProof/>
                <w:sz w:val="10"/>
                <w:szCs w:val="10"/>
              </w:rPr>
            </w:pPr>
          </w:p>
          <w:p w:rsidR="00781FE2" w:rsidRPr="008213AD" w:rsidRDefault="00781FE2" w:rsidP="0078056E">
            <w:pPr>
              <w:jc w:val="both"/>
              <w:rPr>
                <w:noProof/>
                <w:sz w:val="10"/>
                <w:szCs w:val="10"/>
              </w:rPr>
            </w:pPr>
          </w:p>
          <w:p w:rsidR="00781FE2" w:rsidRPr="0078056E" w:rsidRDefault="00781FE2" w:rsidP="00CA242B">
            <w:pPr>
              <w:pStyle w:val="BodyText"/>
              <w:jc w:val="both"/>
              <w:rPr>
                <w:noProof/>
                <w:sz w:val="28"/>
                <w:szCs w:val="28"/>
              </w:rPr>
            </w:pPr>
            <w:r>
              <w:rPr>
                <w:noProof/>
                <w:sz w:val="28"/>
                <w:szCs w:val="28"/>
              </w:rPr>
              <w:t xml:space="preserve">     </w:t>
            </w:r>
            <w:r w:rsidRPr="0078056E">
              <w:rPr>
                <w:noProof/>
                <w:sz w:val="28"/>
                <w:szCs w:val="28"/>
              </w:rPr>
              <w:t xml:space="preserve">Conform prevederilor art. 22 alin. (2) lit. c) din Legea nr. 500/2002 </w:t>
            </w:r>
            <w:r w:rsidRPr="0078056E">
              <w:rPr>
                <w:i/>
                <w:noProof/>
                <w:sz w:val="28"/>
                <w:szCs w:val="28"/>
              </w:rPr>
              <w:t>privind finanţele publice</w:t>
            </w:r>
            <w:r w:rsidRPr="0078056E">
              <w:rPr>
                <w:noProof/>
                <w:sz w:val="28"/>
                <w:szCs w:val="28"/>
              </w:rPr>
              <w:t xml:space="preserve">, cu modificările şi completările ulterioare, ordonatorii de credite răspund, </w:t>
            </w:r>
            <w:r w:rsidRPr="0078056E">
              <w:rPr>
                <w:sz w:val="28"/>
                <w:szCs w:val="28"/>
              </w:rPr>
              <w:t>potrivit legii, de angajarea şi utilizarea cheltuielilor în limita creditelor de angajament şi creditelor bugetare pe baza bunei gestiuni financiare.</w:t>
            </w:r>
            <w:r w:rsidRPr="0078056E">
              <w:rPr>
                <w:rStyle w:val="FootnoteReference"/>
                <w:sz w:val="28"/>
                <w:szCs w:val="28"/>
              </w:rPr>
              <w:t xml:space="preserve"> </w:t>
            </w:r>
            <w:r w:rsidRPr="0078056E">
              <w:rPr>
                <w:sz w:val="28"/>
                <w:szCs w:val="28"/>
              </w:rPr>
              <w:t>De asemenea, c</w:t>
            </w:r>
            <w:r w:rsidRPr="0078056E">
              <w:rPr>
                <w:noProof/>
                <w:sz w:val="28"/>
                <w:szCs w:val="28"/>
              </w:rPr>
              <w:t xml:space="preserve">onform prevederilor Anexei 1 la </w:t>
            </w:r>
            <w:r w:rsidRPr="0078056E">
              <w:rPr>
                <w:sz w:val="28"/>
                <w:szCs w:val="28"/>
              </w:rPr>
              <w:t xml:space="preserve">Ordinul ministrului finanţelor publice nr. 1792/2002 </w:t>
            </w:r>
            <w:r w:rsidRPr="0078056E">
              <w:rPr>
                <w:bCs/>
                <w:i/>
                <w:sz w:val="28"/>
                <w:szCs w:val="28"/>
              </w:rPr>
              <w:t>pentru aprobarea Normelor metodologice privind angajarea, lichidarea, ordonanţarea şi plata cheltuielilor instituţiilor publice, precum şi organizarea, evidenta şi raportarea angajamentelor bugetare şi legale</w:t>
            </w:r>
            <w:r w:rsidRPr="0078056E">
              <w:rPr>
                <w:bCs/>
                <w:sz w:val="28"/>
                <w:szCs w:val="28"/>
              </w:rPr>
              <w:t>, cu modificările şi completările ulterioare:</w:t>
            </w:r>
            <w:r>
              <w:rPr>
                <w:bCs/>
                <w:sz w:val="28"/>
                <w:szCs w:val="28"/>
              </w:rPr>
              <w:t xml:space="preserve"> </w:t>
            </w:r>
            <w:r w:rsidRPr="0078056E">
              <w:rPr>
                <w:color w:val="000000"/>
                <w:sz w:val="28"/>
                <w:szCs w:val="28"/>
              </w:rPr>
              <w:t>„Înainte de a angaja şi a utiliza creditele bugetare, respectiv înainte de a lua orice măsură care ar produce o cheltuială, ordonatorii de credite trebuie să se asigure că măsura luată respectă principiile unei bune gestiuni financiare, ale unui management financiar sănătos, în special ale economiei şi eficienţei cheltuielilor.”</w:t>
            </w:r>
          </w:p>
          <w:p w:rsidR="00781FE2" w:rsidRDefault="00781FE2" w:rsidP="0078056E">
            <w:pPr>
              <w:jc w:val="both"/>
              <w:rPr>
                <w:noProof/>
                <w:sz w:val="28"/>
                <w:szCs w:val="28"/>
              </w:rPr>
            </w:pPr>
            <w:r>
              <w:rPr>
                <w:noProof/>
                <w:sz w:val="28"/>
                <w:szCs w:val="28"/>
              </w:rPr>
              <w:t xml:space="preserve">     </w:t>
            </w:r>
            <w:r w:rsidRPr="0078056E">
              <w:rPr>
                <w:noProof/>
                <w:sz w:val="28"/>
                <w:szCs w:val="28"/>
              </w:rPr>
              <w:t xml:space="preserve">Având în vedere cele de mai sus, Direcţia Generală Financiară </w:t>
            </w:r>
            <w:r w:rsidRPr="0078056E">
              <w:rPr>
                <w:sz w:val="28"/>
                <w:szCs w:val="28"/>
              </w:rPr>
              <w:t>a transmis ordonatorilor secundari de credite şi ordonatorilor terţiari de credite din finanţarea directă a ordonatorului principal de credite bugetul pentru anul 2015 şi 20</w:t>
            </w:r>
            <w:r>
              <w:rPr>
                <w:sz w:val="28"/>
                <w:szCs w:val="28"/>
              </w:rPr>
              <w:t xml:space="preserve">16, după aprobarea acestuia de ordonatorul </w:t>
            </w:r>
            <w:r w:rsidRPr="0078056E">
              <w:rPr>
                <w:sz w:val="28"/>
                <w:szCs w:val="28"/>
              </w:rPr>
              <w:t>p</w:t>
            </w:r>
            <w:r>
              <w:rPr>
                <w:sz w:val="28"/>
                <w:szCs w:val="28"/>
              </w:rPr>
              <w:t xml:space="preserve">rincipal de </w:t>
            </w:r>
            <w:r w:rsidRPr="0078056E">
              <w:rPr>
                <w:sz w:val="28"/>
                <w:szCs w:val="28"/>
              </w:rPr>
              <w:t>c</w:t>
            </w:r>
            <w:r>
              <w:rPr>
                <w:sz w:val="28"/>
                <w:szCs w:val="28"/>
              </w:rPr>
              <w:t>redite</w:t>
            </w:r>
            <w:r w:rsidRPr="0078056E">
              <w:rPr>
                <w:sz w:val="28"/>
                <w:szCs w:val="28"/>
              </w:rPr>
              <w:t xml:space="preserve"> în conformitate cu prevederile art. 16 alin. (2) şi art. 21 alin. (2) din Legea nr. 500/2002, cu modificările şi completările ulterioare, urmând ca ordonatorii de credite să stabilească priorităţile de finanţat pe baza bunei gestiuni financiare</w:t>
            </w:r>
            <w:r w:rsidRPr="0078056E">
              <w:rPr>
                <w:rStyle w:val="FootnoteReference"/>
                <w:sz w:val="28"/>
                <w:szCs w:val="28"/>
              </w:rPr>
              <w:footnoteReference w:id="1"/>
            </w:r>
            <w:r w:rsidRPr="0078056E">
              <w:rPr>
                <w:sz w:val="28"/>
                <w:szCs w:val="28"/>
              </w:rPr>
              <w:t xml:space="preserve">. Astfel, </w:t>
            </w:r>
            <w:r>
              <w:rPr>
                <w:sz w:val="28"/>
                <w:szCs w:val="28"/>
              </w:rPr>
              <w:t>structura de specialitate din cadrul Aparatului Central al MAI</w:t>
            </w:r>
            <w:r w:rsidRPr="0078056E">
              <w:rPr>
                <w:sz w:val="28"/>
                <w:szCs w:val="28"/>
              </w:rPr>
              <w:t xml:space="preserve"> </w:t>
            </w:r>
            <w:r w:rsidRPr="0078056E">
              <w:rPr>
                <w:noProof/>
                <w:sz w:val="28"/>
                <w:szCs w:val="28"/>
              </w:rPr>
              <w:t>nu deţine date referitoare la sumele alocate de ordonatorii de credite din cadrul ministerului, în 2015 şi 2016, în baza</w:t>
            </w:r>
            <w:r w:rsidRPr="0078056E">
              <w:rPr>
                <w:sz w:val="28"/>
                <w:szCs w:val="28"/>
              </w:rPr>
              <w:t xml:space="preserve"> art. 32 alin. (1) din Legea nr. 360/2002, cu modificările şi completările ulterioare, </w:t>
            </w:r>
            <w:r w:rsidRPr="0078056E">
              <w:rPr>
                <w:noProof/>
                <w:sz w:val="28"/>
                <w:szCs w:val="28"/>
              </w:rPr>
              <w:t>pentru construirea de locuinţe pentru poliţişti, respectiv pentru ajutorarea poliţiştilor în vederea achiziţionării unei locuinţe proprietate personală.</w:t>
            </w:r>
          </w:p>
          <w:p w:rsidR="00781FE2" w:rsidRPr="008213AD" w:rsidRDefault="00781FE2" w:rsidP="0078056E">
            <w:pPr>
              <w:jc w:val="both"/>
              <w:rPr>
                <w:noProof/>
                <w:sz w:val="16"/>
                <w:szCs w:val="16"/>
              </w:rPr>
            </w:pPr>
          </w:p>
          <w:p w:rsidR="00781FE2" w:rsidRDefault="00781FE2" w:rsidP="0078056E">
            <w:pPr>
              <w:jc w:val="both"/>
              <w:rPr>
                <w:noProof/>
                <w:sz w:val="28"/>
                <w:szCs w:val="28"/>
              </w:rPr>
            </w:pPr>
            <w:r>
              <w:rPr>
                <w:noProof/>
                <w:sz w:val="28"/>
                <w:szCs w:val="28"/>
              </w:rPr>
              <w:t xml:space="preserve">     Conform datelor raportate de către structurile MAI care au în administrare imobile cu destinaţia de „locuinţe”, situaţia acestora se prezintă astfel:</w:t>
            </w:r>
          </w:p>
          <w:p w:rsidR="00781FE2" w:rsidRPr="00056389" w:rsidRDefault="00781FE2" w:rsidP="00056389">
            <w:pPr>
              <w:pStyle w:val="ListParagraph"/>
              <w:numPr>
                <w:ilvl w:val="0"/>
                <w:numId w:val="18"/>
              </w:numPr>
              <w:jc w:val="both"/>
              <w:rPr>
                <w:noProof/>
                <w:sz w:val="28"/>
                <w:szCs w:val="28"/>
              </w:rPr>
            </w:pPr>
            <w:r w:rsidRPr="00056389">
              <w:rPr>
                <w:noProof/>
                <w:sz w:val="28"/>
                <w:szCs w:val="28"/>
              </w:rPr>
              <w:t>Locuinţe de serviciu aflate în domeniul public al statului:</w:t>
            </w:r>
            <w:r>
              <w:rPr>
                <w:noProof/>
                <w:sz w:val="28"/>
                <w:szCs w:val="28"/>
              </w:rPr>
              <w:t xml:space="preserve"> 226;</w:t>
            </w:r>
          </w:p>
          <w:p w:rsidR="00781FE2" w:rsidRDefault="00781FE2" w:rsidP="00056389">
            <w:pPr>
              <w:pStyle w:val="ListParagraph"/>
              <w:numPr>
                <w:ilvl w:val="0"/>
                <w:numId w:val="17"/>
              </w:numPr>
              <w:jc w:val="both"/>
              <w:rPr>
                <w:noProof/>
                <w:sz w:val="28"/>
                <w:szCs w:val="28"/>
              </w:rPr>
            </w:pPr>
            <w:r w:rsidRPr="00056389">
              <w:rPr>
                <w:noProof/>
                <w:sz w:val="28"/>
                <w:szCs w:val="28"/>
              </w:rPr>
              <w:t>Locuinţe de serviciu aflate în domeniul p</w:t>
            </w:r>
            <w:r>
              <w:rPr>
                <w:noProof/>
                <w:sz w:val="28"/>
                <w:szCs w:val="28"/>
              </w:rPr>
              <w:t>rivat</w:t>
            </w:r>
            <w:r w:rsidRPr="00056389">
              <w:rPr>
                <w:noProof/>
                <w:sz w:val="28"/>
                <w:szCs w:val="28"/>
              </w:rPr>
              <w:t xml:space="preserve"> al statului:</w:t>
            </w:r>
            <w:r>
              <w:rPr>
                <w:noProof/>
                <w:sz w:val="28"/>
                <w:szCs w:val="28"/>
              </w:rPr>
              <w:t xml:space="preserve"> 251;</w:t>
            </w:r>
          </w:p>
          <w:p w:rsidR="00781FE2" w:rsidRDefault="00781FE2" w:rsidP="00056389">
            <w:pPr>
              <w:pStyle w:val="ListParagraph"/>
              <w:numPr>
                <w:ilvl w:val="0"/>
                <w:numId w:val="17"/>
              </w:numPr>
              <w:jc w:val="both"/>
              <w:rPr>
                <w:noProof/>
                <w:sz w:val="28"/>
                <w:szCs w:val="28"/>
              </w:rPr>
            </w:pPr>
            <w:r>
              <w:rPr>
                <w:noProof/>
                <w:sz w:val="28"/>
                <w:szCs w:val="28"/>
              </w:rPr>
              <w:t>Locuinţe de inervenţie aflate în domeniul public al statului: 2064;</w:t>
            </w:r>
          </w:p>
          <w:p w:rsidR="00781FE2" w:rsidRDefault="00781FE2" w:rsidP="00056389">
            <w:pPr>
              <w:pStyle w:val="ListParagraph"/>
              <w:numPr>
                <w:ilvl w:val="0"/>
                <w:numId w:val="17"/>
              </w:numPr>
              <w:jc w:val="both"/>
              <w:rPr>
                <w:noProof/>
                <w:sz w:val="28"/>
                <w:szCs w:val="28"/>
              </w:rPr>
            </w:pPr>
            <w:r>
              <w:rPr>
                <w:noProof/>
                <w:sz w:val="28"/>
                <w:szCs w:val="28"/>
              </w:rPr>
              <w:t>Locuinţe de intervenţie aflate în domeniul privat al statului: 164.</w:t>
            </w:r>
          </w:p>
          <w:p w:rsidR="00781FE2" w:rsidRPr="00E3364D" w:rsidRDefault="00781FE2" w:rsidP="00E3364D">
            <w:pPr>
              <w:jc w:val="both"/>
              <w:rPr>
                <w:noProof/>
                <w:sz w:val="28"/>
                <w:szCs w:val="28"/>
              </w:rPr>
            </w:pPr>
            <w:r>
              <w:rPr>
                <w:noProof/>
                <w:sz w:val="28"/>
                <w:szCs w:val="28"/>
              </w:rPr>
              <w:t xml:space="preserve">   Cu privire la „dosare pentru evacuarea silită a poliţiştilor”, din verificări a rezultat că în cadrul Direcţiei Generale Juridice nu sunt înregistrate astfel de litigii.</w:t>
            </w:r>
          </w:p>
          <w:p w:rsidR="00781FE2" w:rsidRPr="00F62790" w:rsidRDefault="00781FE2" w:rsidP="00F62790">
            <w:pPr>
              <w:jc w:val="both"/>
              <w:rPr>
                <w:noProof/>
                <w:sz w:val="28"/>
                <w:szCs w:val="28"/>
              </w:rPr>
            </w:pPr>
            <w:r>
              <w:rPr>
                <w:noProof/>
                <w:sz w:val="28"/>
                <w:szCs w:val="28"/>
              </w:rPr>
              <w:t xml:space="preserve">    La nivelul structurilor Aparatului Central al MAI nu au fost identificate alte informaţii de interes public în legătură cu solicitarea dumneavoastră.</w:t>
            </w:r>
          </w:p>
          <w:p w:rsidR="00781FE2" w:rsidRPr="008F5975" w:rsidRDefault="00781FE2" w:rsidP="00AF7151">
            <w:pPr>
              <w:autoSpaceDE w:val="0"/>
              <w:autoSpaceDN w:val="0"/>
              <w:adjustRightInd w:val="0"/>
              <w:jc w:val="both"/>
              <w:rPr>
                <w:sz w:val="10"/>
                <w:szCs w:val="10"/>
              </w:rPr>
            </w:pPr>
            <w:r w:rsidRPr="001023EC">
              <w:rPr>
                <w:b/>
                <w:sz w:val="28"/>
                <w:szCs w:val="28"/>
              </w:rPr>
              <w:tab/>
            </w:r>
          </w:p>
          <w:p w:rsidR="00781FE2" w:rsidRPr="001023EC" w:rsidRDefault="00781FE2" w:rsidP="00475828">
            <w:pPr>
              <w:spacing w:line="276" w:lineRule="auto"/>
              <w:rPr>
                <w:b/>
                <w:sz w:val="28"/>
                <w:szCs w:val="28"/>
              </w:rPr>
            </w:pPr>
            <w:r w:rsidRPr="001023EC">
              <w:rPr>
                <w:b/>
                <w:sz w:val="28"/>
                <w:szCs w:val="28"/>
              </w:rPr>
              <w:t>Responsabil de informarea publică</w:t>
            </w:r>
          </w:p>
          <w:p w:rsidR="00781FE2" w:rsidRPr="00F06571" w:rsidRDefault="00781FE2" w:rsidP="001013BB">
            <w:pPr>
              <w:spacing w:line="276" w:lineRule="auto"/>
              <w:rPr>
                <w:b/>
                <w:sz w:val="12"/>
                <w:szCs w:val="12"/>
              </w:rPr>
            </w:pPr>
            <w:r w:rsidRPr="001023EC">
              <w:rPr>
                <w:b/>
                <w:sz w:val="28"/>
                <w:szCs w:val="28"/>
              </w:rPr>
              <w:t>Comisar şef de poliţie Gabriel Mitroiu</w:t>
            </w:r>
            <w:r w:rsidRPr="004D4DF2">
              <w:rPr>
                <w:noProof/>
                <w:sz w:val="28"/>
                <w:szCs w:val="28"/>
                <w:lang w:val="en-US" w:eastAsia="en-US"/>
              </w:rPr>
              <w:pict>
                <v:shape id="Picture 2" o:spid="_x0000_i1026" type="#_x0000_t75" alt="nr" style="width:455.25pt;height:45.75pt;visibility:visible">
                  <v:imagedata r:id="rId8" o:title=""/>
                </v:shape>
              </w:pict>
            </w:r>
          </w:p>
        </w:tc>
      </w:tr>
    </w:tbl>
    <w:p w:rsidR="00781FE2" w:rsidRPr="00F06571" w:rsidRDefault="00781FE2" w:rsidP="00E679CE">
      <w:pPr>
        <w:spacing w:line="360" w:lineRule="auto"/>
        <w:jc w:val="both"/>
      </w:pPr>
    </w:p>
    <w:sectPr w:rsidR="00781FE2" w:rsidRPr="00F06571" w:rsidSect="007D761A">
      <w:pgSz w:w="11906" w:h="16838"/>
      <w:pgMar w:top="719" w:right="626" w:bottom="36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FE2" w:rsidRDefault="00781FE2">
      <w:r>
        <w:separator/>
      </w:r>
    </w:p>
  </w:endnote>
  <w:endnote w:type="continuationSeparator" w:id="0">
    <w:p w:rsidR="00781FE2" w:rsidRDefault="00781F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FE2" w:rsidRDefault="00781FE2">
      <w:r>
        <w:separator/>
      </w:r>
    </w:p>
  </w:footnote>
  <w:footnote w:type="continuationSeparator" w:id="0">
    <w:p w:rsidR="00781FE2" w:rsidRDefault="00781FE2">
      <w:r>
        <w:continuationSeparator/>
      </w:r>
    </w:p>
  </w:footnote>
  <w:footnote w:id="1">
    <w:p w:rsidR="00781FE2" w:rsidRDefault="00781FE2" w:rsidP="0078056E">
      <w:pPr>
        <w:pStyle w:val="FootnoteText"/>
        <w:jc w:val="both"/>
      </w:pPr>
      <w:r>
        <w:rPr>
          <w:rStyle w:val="FootnoteReference"/>
        </w:rPr>
        <w:footnoteRef/>
      </w:r>
      <w:r>
        <w:rPr>
          <w:sz w:val="16"/>
          <w:szCs w:val="16"/>
        </w:rPr>
        <w:t xml:space="preserve"> Economicitate, Eficacitate, Eficienţă – art. 2 alin. (3) din Legea nr. 500/2002 </w:t>
      </w:r>
      <w:r>
        <w:rPr>
          <w:i/>
          <w:sz w:val="16"/>
          <w:szCs w:val="16"/>
        </w:rPr>
        <w:t>privind finanţele publice</w:t>
      </w:r>
      <w:r>
        <w:rPr>
          <w:sz w:val="16"/>
          <w:szCs w:val="16"/>
        </w:rPr>
        <w:t xml:space="preserve">, cu modificările şi completările ulterioare, şi art. 2 lit. h), i) şi j) din </w:t>
      </w:r>
      <w:r>
        <w:rPr>
          <w:bCs/>
          <w:sz w:val="16"/>
          <w:szCs w:val="16"/>
        </w:rPr>
        <w:t xml:space="preserve">Ordonanţa Guvernului nr. 119/1999 </w:t>
      </w:r>
      <w:r>
        <w:rPr>
          <w:bCs/>
          <w:i/>
          <w:sz w:val="16"/>
          <w:szCs w:val="16"/>
        </w:rPr>
        <w:t>privind controlul intern şi controlul financiar preventiv</w:t>
      </w:r>
      <w:r>
        <w:rPr>
          <w:bCs/>
          <w:sz w:val="16"/>
          <w:szCs w:val="16"/>
        </w:rPr>
        <w:t>, republicată, cu modificările şi completările ulterioare;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2B45"/>
    <w:multiLevelType w:val="hybridMultilevel"/>
    <w:tmpl w:val="0A6889BC"/>
    <w:lvl w:ilvl="0" w:tplc="6116FFD0">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49E0"/>
    <w:multiLevelType w:val="hybridMultilevel"/>
    <w:tmpl w:val="D6E6E6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384DB3"/>
    <w:multiLevelType w:val="hybridMultilevel"/>
    <w:tmpl w:val="C548F2D2"/>
    <w:lvl w:ilvl="0" w:tplc="A2E82B9E">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A7810"/>
    <w:multiLevelType w:val="hybridMultilevel"/>
    <w:tmpl w:val="4DB4608A"/>
    <w:lvl w:ilvl="0" w:tplc="3A4844AE">
      <w:start w:val="1"/>
      <w:numFmt w:val="decimal"/>
      <w:lvlText w:val="%1."/>
      <w:lvlJc w:val="left"/>
      <w:pPr>
        <w:tabs>
          <w:tab w:val="num" w:pos="1005"/>
        </w:tabs>
        <w:ind w:left="1005" w:hanging="360"/>
      </w:pPr>
      <w:rPr>
        <w:rFonts w:cs="Times New Roman" w:hint="default"/>
        <w:i w:val="0"/>
      </w:rPr>
    </w:lvl>
    <w:lvl w:ilvl="1" w:tplc="04180019" w:tentative="1">
      <w:start w:val="1"/>
      <w:numFmt w:val="lowerLetter"/>
      <w:lvlText w:val="%2."/>
      <w:lvlJc w:val="left"/>
      <w:pPr>
        <w:tabs>
          <w:tab w:val="num" w:pos="1725"/>
        </w:tabs>
        <w:ind w:left="1725" w:hanging="360"/>
      </w:pPr>
      <w:rPr>
        <w:rFonts w:cs="Times New Roman"/>
      </w:rPr>
    </w:lvl>
    <w:lvl w:ilvl="2" w:tplc="0418001B" w:tentative="1">
      <w:start w:val="1"/>
      <w:numFmt w:val="lowerRoman"/>
      <w:lvlText w:val="%3."/>
      <w:lvlJc w:val="right"/>
      <w:pPr>
        <w:tabs>
          <w:tab w:val="num" w:pos="2445"/>
        </w:tabs>
        <w:ind w:left="2445" w:hanging="180"/>
      </w:pPr>
      <w:rPr>
        <w:rFonts w:cs="Times New Roman"/>
      </w:rPr>
    </w:lvl>
    <w:lvl w:ilvl="3" w:tplc="0418000F" w:tentative="1">
      <w:start w:val="1"/>
      <w:numFmt w:val="decimal"/>
      <w:lvlText w:val="%4."/>
      <w:lvlJc w:val="left"/>
      <w:pPr>
        <w:tabs>
          <w:tab w:val="num" w:pos="3165"/>
        </w:tabs>
        <w:ind w:left="3165" w:hanging="360"/>
      </w:pPr>
      <w:rPr>
        <w:rFonts w:cs="Times New Roman"/>
      </w:rPr>
    </w:lvl>
    <w:lvl w:ilvl="4" w:tplc="04180019" w:tentative="1">
      <w:start w:val="1"/>
      <w:numFmt w:val="lowerLetter"/>
      <w:lvlText w:val="%5."/>
      <w:lvlJc w:val="left"/>
      <w:pPr>
        <w:tabs>
          <w:tab w:val="num" w:pos="3885"/>
        </w:tabs>
        <w:ind w:left="3885" w:hanging="360"/>
      </w:pPr>
      <w:rPr>
        <w:rFonts w:cs="Times New Roman"/>
      </w:rPr>
    </w:lvl>
    <w:lvl w:ilvl="5" w:tplc="0418001B" w:tentative="1">
      <w:start w:val="1"/>
      <w:numFmt w:val="lowerRoman"/>
      <w:lvlText w:val="%6."/>
      <w:lvlJc w:val="right"/>
      <w:pPr>
        <w:tabs>
          <w:tab w:val="num" w:pos="4605"/>
        </w:tabs>
        <w:ind w:left="4605" w:hanging="180"/>
      </w:pPr>
      <w:rPr>
        <w:rFonts w:cs="Times New Roman"/>
      </w:rPr>
    </w:lvl>
    <w:lvl w:ilvl="6" w:tplc="0418000F" w:tentative="1">
      <w:start w:val="1"/>
      <w:numFmt w:val="decimal"/>
      <w:lvlText w:val="%7."/>
      <w:lvlJc w:val="left"/>
      <w:pPr>
        <w:tabs>
          <w:tab w:val="num" w:pos="5325"/>
        </w:tabs>
        <w:ind w:left="5325" w:hanging="360"/>
      </w:pPr>
      <w:rPr>
        <w:rFonts w:cs="Times New Roman"/>
      </w:rPr>
    </w:lvl>
    <w:lvl w:ilvl="7" w:tplc="04180019" w:tentative="1">
      <w:start w:val="1"/>
      <w:numFmt w:val="lowerLetter"/>
      <w:lvlText w:val="%8."/>
      <w:lvlJc w:val="left"/>
      <w:pPr>
        <w:tabs>
          <w:tab w:val="num" w:pos="6045"/>
        </w:tabs>
        <w:ind w:left="6045" w:hanging="360"/>
      </w:pPr>
      <w:rPr>
        <w:rFonts w:cs="Times New Roman"/>
      </w:rPr>
    </w:lvl>
    <w:lvl w:ilvl="8" w:tplc="0418001B" w:tentative="1">
      <w:start w:val="1"/>
      <w:numFmt w:val="lowerRoman"/>
      <w:lvlText w:val="%9."/>
      <w:lvlJc w:val="right"/>
      <w:pPr>
        <w:tabs>
          <w:tab w:val="num" w:pos="6765"/>
        </w:tabs>
        <w:ind w:left="6765" w:hanging="180"/>
      </w:pPr>
      <w:rPr>
        <w:rFonts w:cs="Times New Roman"/>
      </w:rPr>
    </w:lvl>
  </w:abstractNum>
  <w:abstractNum w:abstractNumId="4">
    <w:nsid w:val="2B2F6821"/>
    <w:multiLevelType w:val="hybridMultilevel"/>
    <w:tmpl w:val="28EA0294"/>
    <w:lvl w:ilvl="0" w:tplc="D0BE9C7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5239AC"/>
    <w:multiLevelType w:val="hybridMultilevel"/>
    <w:tmpl w:val="4FE8C8DA"/>
    <w:lvl w:ilvl="0" w:tplc="0672A068">
      <w:start w:val="1"/>
      <w:numFmt w:val="decimal"/>
      <w:lvlText w:val="%1."/>
      <w:lvlJc w:val="left"/>
      <w:pPr>
        <w:tabs>
          <w:tab w:val="num" w:pos="930"/>
        </w:tabs>
        <w:ind w:left="930" w:hanging="360"/>
      </w:pPr>
      <w:rPr>
        <w:rFonts w:cs="Times New Roman" w:hint="default"/>
        <w:b/>
        <w:sz w:val="28"/>
      </w:rPr>
    </w:lvl>
    <w:lvl w:ilvl="1" w:tplc="04180019" w:tentative="1">
      <w:start w:val="1"/>
      <w:numFmt w:val="lowerLetter"/>
      <w:lvlText w:val="%2."/>
      <w:lvlJc w:val="left"/>
      <w:pPr>
        <w:tabs>
          <w:tab w:val="num" w:pos="1650"/>
        </w:tabs>
        <w:ind w:left="1650" w:hanging="360"/>
      </w:pPr>
      <w:rPr>
        <w:rFonts w:cs="Times New Roman"/>
      </w:rPr>
    </w:lvl>
    <w:lvl w:ilvl="2" w:tplc="0418001B" w:tentative="1">
      <w:start w:val="1"/>
      <w:numFmt w:val="lowerRoman"/>
      <w:lvlText w:val="%3."/>
      <w:lvlJc w:val="right"/>
      <w:pPr>
        <w:tabs>
          <w:tab w:val="num" w:pos="2370"/>
        </w:tabs>
        <w:ind w:left="2370" w:hanging="180"/>
      </w:pPr>
      <w:rPr>
        <w:rFonts w:cs="Times New Roman"/>
      </w:rPr>
    </w:lvl>
    <w:lvl w:ilvl="3" w:tplc="0418000F" w:tentative="1">
      <w:start w:val="1"/>
      <w:numFmt w:val="decimal"/>
      <w:lvlText w:val="%4."/>
      <w:lvlJc w:val="left"/>
      <w:pPr>
        <w:tabs>
          <w:tab w:val="num" w:pos="3090"/>
        </w:tabs>
        <w:ind w:left="3090" w:hanging="360"/>
      </w:pPr>
      <w:rPr>
        <w:rFonts w:cs="Times New Roman"/>
      </w:rPr>
    </w:lvl>
    <w:lvl w:ilvl="4" w:tplc="04180019" w:tentative="1">
      <w:start w:val="1"/>
      <w:numFmt w:val="lowerLetter"/>
      <w:lvlText w:val="%5."/>
      <w:lvlJc w:val="left"/>
      <w:pPr>
        <w:tabs>
          <w:tab w:val="num" w:pos="3810"/>
        </w:tabs>
        <w:ind w:left="3810" w:hanging="360"/>
      </w:pPr>
      <w:rPr>
        <w:rFonts w:cs="Times New Roman"/>
      </w:rPr>
    </w:lvl>
    <w:lvl w:ilvl="5" w:tplc="0418001B" w:tentative="1">
      <w:start w:val="1"/>
      <w:numFmt w:val="lowerRoman"/>
      <w:lvlText w:val="%6."/>
      <w:lvlJc w:val="right"/>
      <w:pPr>
        <w:tabs>
          <w:tab w:val="num" w:pos="4530"/>
        </w:tabs>
        <w:ind w:left="4530" w:hanging="180"/>
      </w:pPr>
      <w:rPr>
        <w:rFonts w:cs="Times New Roman"/>
      </w:rPr>
    </w:lvl>
    <w:lvl w:ilvl="6" w:tplc="0418000F" w:tentative="1">
      <w:start w:val="1"/>
      <w:numFmt w:val="decimal"/>
      <w:lvlText w:val="%7."/>
      <w:lvlJc w:val="left"/>
      <w:pPr>
        <w:tabs>
          <w:tab w:val="num" w:pos="5250"/>
        </w:tabs>
        <w:ind w:left="5250" w:hanging="360"/>
      </w:pPr>
      <w:rPr>
        <w:rFonts w:cs="Times New Roman"/>
      </w:rPr>
    </w:lvl>
    <w:lvl w:ilvl="7" w:tplc="04180019" w:tentative="1">
      <w:start w:val="1"/>
      <w:numFmt w:val="lowerLetter"/>
      <w:lvlText w:val="%8."/>
      <w:lvlJc w:val="left"/>
      <w:pPr>
        <w:tabs>
          <w:tab w:val="num" w:pos="5970"/>
        </w:tabs>
        <w:ind w:left="5970" w:hanging="360"/>
      </w:pPr>
      <w:rPr>
        <w:rFonts w:cs="Times New Roman"/>
      </w:rPr>
    </w:lvl>
    <w:lvl w:ilvl="8" w:tplc="0418001B" w:tentative="1">
      <w:start w:val="1"/>
      <w:numFmt w:val="lowerRoman"/>
      <w:lvlText w:val="%9."/>
      <w:lvlJc w:val="right"/>
      <w:pPr>
        <w:tabs>
          <w:tab w:val="num" w:pos="6690"/>
        </w:tabs>
        <w:ind w:left="6690" w:hanging="180"/>
      </w:pPr>
      <w:rPr>
        <w:rFonts w:cs="Times New Roman"/>
      </w:rPr>
    </w:lvl>
  </w:abstractNum>
  <w:abstractNum w:abstractNumId="6">
    <w:nsid w:val="2E536EA6"/>
    <w:multiLevelType w:val="hybridMultilevel"/>
    <w:tmpl w:val="3310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35F9D"/>
    <w:multiLevelType w:val="hybridMultilevel"/>
    <w:tmpl w:val="03D0A494"/>
    <w:lvl w:ilvl="0" w:tplc="BB622176">
      <w:start w:val="1"/>
      <w:numFmt w:val="decimal"/>
      <w:lvlText w:val="%1."/>
      <w:lvlJc w:val="left"/>
      <w:pPr>
        <w:tabs>
          <w:tab w:val="num" w:pos="930"/>
        </w:tabs>
        <w:ind w:left="930" w:hanging="360"/>
      </w:pPr>
      <w:rPr>
        <w:rFonts w:cs="Times New Roman" w:hint="default"/>
        <w:b/>
      </w:rPr>
    </w:lvl>
    <w:lvl w:ilvl="1" w:tplc="04180019" w:tentative="1">
      <w:start w:val="1"/>
      <w:numFmt w:val="lowerLetter"/>
      <w:lvlText w:val="%2."/>
      <w:lvlJc w:val="left"/>
      <w:pPr>
        <w:tabs>
          <w:tab w:val="num" w:pos="1650"/>
        </w:tabs>
        <w:ind w:left="1650" w:hanging="360"/>
      </w:pPr>
      <w:rPr>
        <w:rFonts w:cs="Times New Roman"/>
      </w:rPr>
    </w:lvl>
    <w:lvl w:ilvl="2" w:tplc="0418001B" w:tentative="1">
      <w:start w:val="1"/>
      <w:numFmt w:val="lowerRoman"/>
      <w:lvlText w:val="%3."/>
      <w:lvlJc w:val="right"/>
      <w:pPr>
        <w:tabs>
          <w:tab w:val="num" w:pos="2370"/>
        </w:tabs>
        <w:ind w:left="2370" w:hanging="180"/>
      </w:pPr>
      <w:rPr>
        <w:rFonts w:cs="Times New Roman"/>
      </w:rPr>
    </w:lvl>
    <w:lvl w:ilvl="3" w:tplc="0418000F" w:tentative="1">
      <w:start w:val="1"/>
      <w:numFmt w:val="decimal"/>
      <w:lvlText w:val="%4."/>
      <w:lvlJc w:val="left"/>
      <w:pPr>
        <w:tabs>
          <w:tab w:val="num" w:pos="3090"/>
        </w:tabs>
        <w:ind w:left="3090" w:hanging="360"/>
      </w:pPr>
      <w:rPr>
        <w:rFonts w:cs="Times New Roman"/>
      </w:rPr>
    </w:lvl>
    <w:lvl w:ilvl="4" w:tplc="04180019" w:tentative="1">
      <w:start w:val="1"/>
      <w:numFmt w:val="lowerLetter"/>
      <w:lvlText w:val="%5."/>
      <w:lvlJc w:val="left"/>
      <w:pPr>
        <w:tabs>
          <w:tab w:val="num" w:pos="3810"/>
        </w:tabs>
        <w:ind w:left="3810" w:hanging="360"/>
      </w:pPr>
      <w:rPr>
        <w:rFonts w:cs="Times New Roman"/>
      </w:rPr>
    </w:lvl>
    <w:lvl w:ilvl="5" w:tplc="0418001B" w:tentative="1">
      <w:start w:val="1"/>
      <w:numFmt w:val="lowerRoman"/>
      <w:lvlText w:val="%6."/>
      <w:lvlJc w:val="right"/>
      <w:pPr>
        <w:tabs>
          <w:tab w:val="num" w:pos="4530"/>
        </w:tabs>
        <w:ind w:left="4530" w:hanging="180"/>
      </w:pPr>
      <w:rPr>
        <w:rFonts w:cs="Times New Roman"/>
      </w:rPr>
    </w:lvl>
    <w:lvl w:ilvl="6" w:tplc="0418000F" w:tentative="1">
      <w:start w:val="1"/>
      <w:numFmt w:val="decimal"/>
      <w:lvlText w:val="%7."/>
      <w:lvlJc w:val="left"/>
      <w:pPr>
        <w:tabs>
          <w:tab w:val="num" w:pos="5250"/>
        </w:tabs>
        <w:ind w:left="5250" w:hanging="360"/>
      </w:pPr>
      <w:rPr>
        <w:rFonts w:cs="Times New Roman"/>
      </w:rPr>
    </w:lvl>
    <w:lvl w:ilvl="7" w:tplc="04180019" w:tentative="1">
      <w:start w:val="1"/>
      <w:numFmt w:val="lowerLetter"/>
      <w:lvlText w:val="%8."/>
      <w:lvlJc w:val="left"/>
      <w:pPr>
        <w:tabs>
          <w:tab w:val="num" w:pos="5970"/>
        </w:tabs>
        <w:ind w:left="5970" w:hanging="360"/>
      </w:pPr>
      <w:rPr>
        <w:rFonts w:cs="Times New Roman"/>
      </w:rPr>
    </w:lvl>
    <w:lvl w:ilvl="8" w:tplc="0418001B" w:tentative="1">
      <w:start w:val="1"/>
      <w:numFmt w:val="lowerRoman"/>
      <w:lvlText w:val="%9."/>
      <w:lvlJc w:val="right"/>
      <w:pPr>
        <w:tabs>
          <w:tab w:val="num" w:pos="6690"/>
        </w:tabs>
        <w:ind w:left="6690" w:hanging="180"/>
      </w:pPr>
      <w:rPr>
        <w:rFonts w:cs="Times New Roman"/>
      </w:rPr>
    </w:lvl>
  </w:abstractNum>
  <w:abstractNum w:abstractNumId="8">
    <w:nsid w:val="34316FD3"/>
    <w:multiLevelType w:val="hybridMultilevel"/>
    <w:tmpl w:val="D298B1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8542F93"/>
    <w:multiLevelType w:val="hybridMultilevel"/>
    <w:tmpl w:val="46B8737E"/>
    <w:lvl w:ilvl="0" w:tplc="56C09EFA">
      <w:numFmt w:val="bullet"/>
      <w:lvlText w:val="-"/>
      <w:lvlJc w:val="left"/>
      <w:pPr>
        <w:ind w:left="720" w:hanging="360"/>
      </w:pPr>
      <w:rPr>
        <w:rFonts w:ascii="Times New Roman" w:eastAsia="Times New Roman" w:hAnsi="Times New Roman"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C1738"/>
    <w:multiLevelType w:val="hybridMultilevel"/>
    <w:tmpl w:val="DEA299A4"/>
    <w:lvl w:ilvl="0" w:tplc="F612BAF8">
      <w:start w:val="1"/>
      <w:numFmt w:val="decimal"/>
      <w:lvlText w:val="%1."/>
      <w:lvlJc w:val="left"/>
      <w:pPr>
        <w:tabs>
          <w:tab w:val="num" w:pos="720"/>
        </w:tabs>
        <w:ind w:left="720" w:hanging="360"/>
      </w:pPr>
      <w:rPr>
        <w:rFonts w:cs="Times New Roman" w:hint="default"/>
        <w:b/>
      </w:rPr>
    </w:lvl>
    <w:lvl w:ilvl="1" w:tplc="AA3EA00A">
      <w:start w:val="1"/>
      <w:numFmt w:val="decimal"/>
      <w:lvlText w:val="%2."/>
      <w:lvlJc w:val="left"/>
      <w:pPr>
        <w:tabs>
          <w:tab w:val="num" w:pos="1440"/>
        </w:tabs>
        <w:ind w:left="1440" w:hanging="360"/>
      </w:pPr>
      <w:rPr>
        <w:rFonts w:ascii="Times New Roman" w:eastAsia="Times New Roman" w:hAnsi="Times New Roman"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6EA379E"/>
    <w:multiLevelType w:val="hybridMultilevel"/>
    <w:tmpl w:val="86EEC6D2"/>
    <w:lvl w:ilvl="0" w:tplc="9F36563A">
      <w:numFmt w:val="bullet"/>
      <w:lvlText w:val=""/>
      <w:lvlJc w:val="left"/>
      <w:pPr>
        <w:tabs>
          <w:tab w:val="num" w:pos="930"/>
        </w:tabs>
        <w:ind w:left="930" w:hanging="360"/>
      </w:pPr>
      <w:rPr>
        <w:rFonts w:ascii="Wingdings" w:eastAsia="Times New Roman" w:hAnsi="Wingdings" w:hint="default"/>
      </w:rPr>
    </w:lvl>
    <w:lvl w:ilvl="1" w:tplc="04180003" w:tentative="1">
      <w:start w:val="1"/>
      <w:numFmt w:val="bullet"/>
      <w:lvlText w:val="o"/>
      <w:lvlJc w:val="left"/>
      <w:pPr>
        <w:tabs>
          <w:tab w:val="num" w:pos="1650"/>
        </w:tabs>
        <w:ind w:left="1650" w:hanging="360"/>
      </w:pPr>
      <w:rPr>
        <w:rFonts w:ascii="Courier New" w:hAnsi="Courier New" w:hint="default"/>
      </w:rPr>
    </w:lvl>
    <w:lvl w:ilvl="2" w:tplc="04180005" w:tentative="1">
      <w:start w:val="1"/>
      <w:numFmt w:val="bullet"/>
      <w:lvlText w:val=""/>
      <w:lvlJc w:val="left"/>
      <w:pPr>
        <w:tabs>
          <w:tab w:val="num" w:pos="2370"/>
        </w:tabs>
        <w:ind w:left="2370" w:hanging="360"/>
      </w:pPr>
      <w:rPr>
        <w:rFonts w:ascii="Wingdings" w:hAnsi="Wingdings" w:hint="default"/>
      </w:rPr>
    </w:lvl>
    <w:lvl w:ilvl="3" w:tplc="04180001" w:tentative="1">
      <w:start w:val="1"/>
      <w:numFmt w:val="bullet"/>
      <w:lvlText w:val=""/>
      <w:lvlJc w:val="left"/>
      <w:pPr>
        <w:tabs>
          <w:tab w:val="num" w:pos="3090"/>
        </w:tabs>
        <w:ind w:left="3090" w:hanging="360"/>
      </w:pPr>
      <w:rPr>
        <w:rFonts w:ascii="Symbol" w:hAnsi="Symbol" w:hint="default"/>
      </w:rPr>
    </w:lvl>
    <w:lvl w:ilvl="4" w:tplc="04180003" w:tentative="1">
      <w:start w:val="1"/>
      <w:numFmt w:val="bullet"/>
      <w:lvlText w:val="o"/>
      <w:lvlJc w:val="left"/>
      <w:pPr>
        <w:tabs>
          <w:tab w:val="num" w:pos="3810"/>
        </w:tabs>
        <w:ind w:left="3810" w:hanging="360"/>
      </w:pPr>
      <w:rPr>
        <w:rFonts w:ascii="Courier New" w:hAnsi="Courier New" w:hint="default"/>
      </w:rPr>
    </w:lvl>
    <w:lvl w:ilvl="5" w:tplc="04180005" w:tentative="1">
      <w:start w:val="1"/>
      <w:numFmt w:val="bullet"/>
      <w:lvlText w:val=""/>
      <w:lvlJc w:val="left"/>
      <w:pPr>
        <w:tabs>
          <w:tab w:val="num" w:pos="4530"/>
        </w:tabs>
        <w:ind w:left="4530" w:hanging="360"/>
      </w:pPr>
      <w:rPr>
        <w:rFonts w:ascii="Wingdings" w:hAnsi="Wingdings" w:hint="default"/>
      </w:rPr>
    </w:lvl>
    <w:lvl w:ilvl="6" w:tplc="04180001" w:tentative="1">
      <w:start w:val="1"/>
      <w:numFmt w:val="bullet"/>
      <w:lvlText w:val=""/>
      <w:lvlJc w:val="left"/>
      <w:pPr>
        <w:tabs>
          <w:tab w:val="num" w:pos="5250"/>
        </w:tabs>
        <w:ind w:left="5250" w:hanging="360"/>
      </w:pPr>
      <w:rPr>
        <w:rFonts w:ascii="Symbol" w:hAnsi="Symbol" w:hint="default"/>
      </w:rPr>
    </w:lvl>
    <w:lvl w:ilvl="7" w:tplc="04180003" w:tentative="1">
      <w:start w:val="1"/>
      <w:numFmt w:val="bullet"/>
      <w:lvlText w:val="o"/>
      <w:lvlJc w:val="left"/>
      <w:pPr>
        <w:tabs>
          <w:tab w:val="num" w:pos="5970"/>
        </w:tabs>
        <w:ind w:left="5970" w:hanging="360"/>
      </w:pPr>
      <w:rPr>
        <w:rFonts w:ascii="Courier New" w:hAnsi="Courier New" w:hint="default"/>
      </w:rPr>
    </w:lvl>
    <w:lvl w:ilvl="8" w:tplc="04180005" w:tentative="1">
      <w:start w:val="1"/>
      <w:numFmt w:val="bullet"/>
      <w:lvlText w:val=""/>
      <w:lvlJc w:val="left"/>
      <w:pPr>
        <w:tabs>
          <w:tab w:val="num" w:pos="6690"/>
        </w:tabs>
        <w:ind w:left="6690" w:hanging="360"/>
      </w:pPr>
      <w:rPr>
        <w:rFonts w:ascii="Wingdings" w:hAnsi="Wingdings" w:hint="default"/>
      </w:rPr>
    </w:lvl>
  </w:abstractNum>
  <w:abstractNum w:abstractNumId="12">
    <w:nsid w:val="48005D54"/>
    <w:multiLevelType w:val="hybridMultilevel"/>
    <w:tmpl w:val="26CEF692"/>
    <w:lvl w:ilvl="0" w:tplc="B9B297E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D5841"/>
    <w:multiLevelType w:val="hybridMultilevel"/>
    <w:tmpl w:val="70CCBBC0"/>
    <w:lvl w:ilvl="0" w:tplc="949455C8">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nsid w:val="546E4EA3"/>
    <w:multiLevelType w:val="hybridMultilevel"/>
    <w:tmpl w:val="E6945E04"/>
    <w:lvl w:ilvl="0" w:tplc="4EA811C8">
      <w:start w:val="1"/>
      <w:numFmt w:val="decimal"/>
      <w:lvlText w:val="%1."/>
      <w:lvlJc w:val="left"/>
      <w:pPr>
        <w:tabs>
          <w:tab w:val="num" w:pos="360"/>
        </w:tabs>
        <w:ind w:left="360" w:hanging="360"/>
      </w:pPr>
      <w:rPr>
        <w:rFonts w:cs="Times New Roman"/>
        <w:b w:val="0"/>
      </w:rPr>
    </w:lvl>
    <w:lvl w:ilvl="1" w:tplc="04180019" w:tentative="1">
      <w:start w:val="1"/>
      <w:numFmt w:val="lowerLetter"/>
      <w:lvlText w:val="%2."/>
      <w:lvlJc w:val="left"/>
      <w:pPr>
        <w:tabs>
          <w:tab w:val="num" w:pos="1080"/>
        </w:tabs>
        <w:ind w:left="1080" w:hanging="360"/>
      </w:pPr>
      <w:rPr>
        <w:rFonts w:cs="Times New Roman"/>
      </w:rPr>
    </w:lvl>
    <w:lvl w:ilvl="2" w:tplc="0418001B" w:tentative="1">
      <w:start w:val="1"/>
      <w:numFmt w:val="lowerRoman"/>
      <w:lvlText w:val="%3."/>
      <w:lvlJc w:val="right"/>
      <w:pPr>
        <w:tabs>
          <w:tab w:val="num" w:pos="1800"/>
        </w:tabs>
        <w:ind w:left="1800" w:hanging="180"/>
      </w:pPr>
      <w:rPr>
        <w:rFonts w:cs="Times New Roman"/>
      </w:rPr>
    </w:lvl>
    <w:lvl w:ilvl="3" w:tplc="0418000F" w:tentative="1">
      <w:start w:val="1"/>
      <w:numFmt w:val="decimal"/>
      <w:lvlText w:val="%4."/>
      <w:lvlJc w:val="left"/>
      <w:pPr>
        <w:tabs>
          <w:tab w:val="num" w:pos="2520"/>
        </w:tabs>
        <w:ind w:left="2520" w:hanging="360"/>
      </w:pPr>
      <w:rPr>
        <w:rFonts w:cs="Times New Roman"/>
      </w:rPr>
    </w:lvl>
    <w:lvl w:ilvl="4" w:tplc="04180019" w:tentative="1">
      <w:start w:val="1"/>
      <w:numFmt w:val="lowerLetter"/>
      <w:lvlText w:val="%5."/>
      <w:lvlJc w:val="left"/>
      <w:pPr>
        <w:tabs>
          <w:tab w:val="num" w:pos="3240"/>
        </w:tabs>
        <w:ind w:left="3240" w:hanging="360"/>
      </w:pPr>
      <w:rPr>
        <w:rFonts w:cs="Times New Roman"/>
      </w:rPr>
    </w:lvl>
    <w:lvl w:ilvl="5" w:tplc="0418001B" w:tentative="1">
      <w:start w:val="1"/>
      <w:numFmt w:val="lowerRoman"/>
      <w:lvlText w:val="%6."/>
      <w:lvlJc w:val="right"/>
      <w:pPr>
        <w:tabs>
          <w:tab w:val="num" w:pos="3960"/>
        </w:tabs>
        <w:ind w:left="3960" w:hanging="180"/>
      </w:pPr>
      <w:rPr>
        <w:rFonts w:cs="Times New Roman"/>
      </w:rPr>
    </w:lvl>
    <w:lvl w:ilvl="6" w:tplc="0418000F" w:tentative="1">
      <w:start w:val="1"/>
      <w:numFmt w:val="decimal"/>
      <w:lvlText w:val="%7."/>
      <w:lvlJc w:val="left"/>
      <w:pPr>
        <w:tabs>
          <w:tab w:val="num" w:pos="4680"/>
        </w:tabs>
        <w:ind w:left="4680" w:hanging="360"/>
      </w:pPr>
      <w:rPr>
        <w:rFonts w:cs="Times New Roman"/>
      </w:rPr>
    </w:lvl>
    <w:lvl w:ilvl="7" w:tplc="04180019" w:tentative="1">
      <w:start w:val="1"/>
      <w:numFmt w:val="lowerLetter"/>
      <w:lvlText w:val="%8."/>
      <w:lvlJc w:val="left"/>
      <w:pPr>
        <w:tabs>
          <w:tab w:val="num" w:pos="5400"/>
        </w:tabs>
        <w:ind w:left="5400" w:hanging="360"/>
      </w:pPr>
      <w:rPr>
        <w:rFonts w:cs="Times New Roman"/>
      </w:rPr>
    </w:lvl>
    <w:lvl w:ilvl="8" w:tplc="0418001B" w:tentative="1">
      <w:start w:val="1"/>
      <w:numFmt w:val="lowerRoman"/>
      <w:lvlText w:val="%9."/>
      <w:lvlJc w:val="right"/>
      <w:pPr>
        <w:tabs>
          <w:tab w:val="num" w:pos="6120"/>
        </w:tabs>
        <w:ind w:left="6120" w:hanging="180"/>
      </w:pPr>
      <w:rPr>
        <w:rFonts w:cs="Times New Roman"/>
      </w:rPr>
    </w:lvl>
  </w:abstractNum>
  <w:abstractNum w:abstractNumId="15">
    <w:nsid w:val="6CCA4890"/>
    <w:multiLevelType w:val="hybridMultilevel"/>
    <w:tmpl w:val="FCEC938A"/>
    <w:lvl w:ilvl="0" w:tplc="A27279D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E343F"/>
    <w:multiLevelType w:val="hybridMultilevel"/>
    <w:tmpl w:val="C526D02C"/>
    <w:lvl w:ilvl="0" w:tplc="D7C410CE">
      <w:start w:val="1"/>
      <w:numFmt w:val="bullet"/>
      <w:lvlText w:val=""/>
      <w:lvlJc w:val="left"/>
      <w:pPr>
        <w:ind w:left="1146" w:hanging="360"/>
      </w:pPr>
      <w:rPr>
        <w:rFonts w:ascii="Wingdings" w:hAnsi="Wing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7FC574FF"/>
    <w:multiLevelType w:val="hybridMultilevel"/>
    <w:tmpl w:val="41EAFFB0"/>
    <w:lvl w:ilvl="0" w:tplc="0409000F">
      <w:start w:val="1"/>
      <w:numFmt w:val="decimal"/>
      <w:lvlText w:val="%1."/>
      <w:lvlJc w:val="left"/>
      <w:pPr>
        <w:ind w:left="6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3"/>
  </w:num>
  <w:num w:numId="3">
    <w:abstractNumId w:val="2"/>
  </w:num>
  <w:num w:numId="4">
    <w:abstractNumId w:val="17"/>
  </w:num>
  <w:num w:numId="5">
    <w:abstractNumId w:val="11"/>
  </w:num>
  <w:num w:numId="6">
    <w:abstractNumId w:val="7"/>
  </w:num>
  <w:num w:numId="7">
    <w:abstractNumId w:val="5"/>
  </w:num>
  <w:num w:numId="8">
    <w:abstractNumId w:val="3"/>
  </w:num>
  <w:num w:numId="9">
    <w:abstractNumId w:val="6"/>
  </w:num>
  <w:num w:numId="10">
    <w:abstractNumId w:val="10"/>
  </w:num>
  <w:num w:numId="11">
    <w:abstractNumId w:val="14"/>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9"/>
  </w:num>
  <w:num w:numId="16">
    <w:abstractNumId w:val="0"/>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708"/>
    <w:rsid w:val="00000B69"/>
    <w:rsid w:val="000039C7"/>
    <w:rsid w:val="00003BA9"/>
    <w:rsid w:val="000062B1"/>
    <w:rsid w:val="000107B2"/>
    <w:rsid w:val="00025429"/>
    <w:rsid w:val="00041A9B"/>
    <w:rsid w:val="00042AEB"/>
    <w:rsid w:val="00042E41"/>
    <w:rsid w:val="0005317C"/>
    <w:rsid w:val="00054A51"/>
    <w:rsid w:val="00056389"/>
    <w:rsid w:val="00060660"/>
    <w:rsid w:val="00062D4F"/>
    <w:rsid w:val="000640A9"/>
    <w:rsid w:val="00064291"/>
    <w:rsid w:val="00065CB4"/>
    <w:rsid w:val="00072CEF"/>
    <w:rsid w:val="000740D4"/>
    <w:rsid w:val="0007506D"/>
    <w:rsid w:val="000756D4"/>
    <w:rsid w:val="00075E39"/>
    <w:rsid w:val="000813D8"/>
    <w:rsid w:val="00081AAE"/>
    <w:rsid w:val="0008218F"/>
    <w:rsid w:val="00082CBF"/>
    <w:rsid w:val="00086CB5"/>
    <w:rsid w:val="00087933"/>
    <w:rsid w:val="00096083"/>
    <w:rsid w:val="000A1E74"/>
    <w:rsid w:val="000A4EF0"/>
    <w:rsid w:val="000A67EA"/>
    <w:rsid w:val="000A6832"/>
    <w:rsid w:val="000B5278"/>
    <w:rsid w:val="000B5F62"/>
    <w:rsid w:val="000B6027"/>
    <w:rsid w:val="000B77B0"/>
    <w:rsid w:val="000C63A3"/>
    <w:rsid w:val="000C6A84"/>
    <w:rsid w:val="000E425E"/>
    <w:rsid w:val="000E42DD"/>
    <w:rsid w:val="000E4532"/>
    <w:rsid w:val="000E4C82"/>
    <w:rsid w:val="000E5A62"/>
    <w:rsid w:val="000E6FA8"/>
    <w:rsid w:val="000F0C76"/>
    <w:rsid w:val="000F163B"/>
    <w:rsid w:val="000F204B"/>
    <w:rsid w:val="000F277F"/>
    <w:rsid w:val="000F68A4"/>
    <w:rsid w:val="000F7883"/>
    <w:rsid w:val="00101326"/>
    <w:rsid w:val="001013BB"/>
    <w:rsid w:val="001023EC"/>
    <w:rsid w:val="00111E34"/>
    <w:rsid w:val="0011392B"/>
    <w:rsid w:val="00114475"/>
    <w:rsid w:val="001149AB"/>
    <w:rsid w:val="0011786A"/>
    <w:rsid w:val="00117A86"/>
    <w:rsid w:val="00120F86"/>
    <w:rsid w:val="00121DCB"/>
    <w:rsid w:val="0012226D"/>
    <w:rsid w:val="001238B9"/>
    <w:rsid w:val="00124510"/>
    <w:rsid w:val="00124683"/>
    <w:rsid w:val="00137F49"/>
    <w:rsid w:val="001401A5"/>
    <w:rsid w:val="00143479"/>
    <w:rsid w:val="00145596"/>
    <w:rsid w:val="001470B1"/>
    <w:rsid w:val="001536B2"/>
    <w:rsid w:val="001566C6"/>
    <w:rsid w:val="001574CC"/>
    <w:rsid w:val="00160D63"/>
    <w:rsid w:val="00160EA0"/>
    <w:rsid w:val="001636C0"/>
    <w:rsid w:val="00165255"/>
    <w:rsid w:val="00170FDF"/>
    <w:rsid w:val="001743A8"/>
    <w:rsid w:val="00174A5D"/>
    <w:rsid w:val="00176B07"/>
    <w:rsid w:val="00180BCC"/>
    <w:rsid w:val="00183167"/>
    <w:rsid w:val="001835EF"/>
    <w:rsid w:val="00186EA5"/>
    <w:rsid w:val="001906BA"/>
    <w:rsid w:val="001928C1"/>
    <w:rsid w:val="00192A7D"/>
    <w:rsid w:val="0019469F"/>
    <w:rsid w:val="001959F3"/>
    <w:rsid w:val="001962C5"/>
    <w:rsid w:val="001A0F47"/>
    <w:rsid w:val="001A2051"/>
    <w:rsid w:val="001A5916"/>
    <w:rsid w:val="001B0B7B"/>
    <w:rsid w:val="001B1811"/>
    <w:rsid w:val="001B6C21"/>
    <w:rsid w:val="001C1B4F"/>
    <w:rsid w:val="001C5D99"/>
    <w:rsid w:val="001C65F8"/>
    <w:rsid w:val="001D20FB"/>
    <w:rsid w:val="001D3AF3"/>
    <w:rsid w:val="001D78BF"/>
    <w:rsid w:val="001E1211"/>
    <w:rsid w:val="001E1B82"/>
    <w:rsid w:val="001E1BDB"/>
    <w:rsid w:val="001E1EE3"/>
    <w:rsid w:val="001E27BC"/>
    <w:rsid w:val="001E2A80"/>
    <w:rsid w:val="001E6214"/>
    <w:rsid w:val="001F151F"/>
    <w:rsid w:val="001F1588"/>
    <w:rsid w:val="001F1F6F"/>
    <w:rsid w:val="001F6884"/>
    <w:rsid w:val="002019C8"/>
    <w:rsid w:val="00203610"/>
    <w:rsid w:val="00205EB8"/>
    <w:rsid w:val="002060F4"/>
    <w:rsid w:val="002077D4"/>
    <w:rsid w:val="00210201"/>
    <w:rsid w:val="00210963"/>
    <w:rsid w:val="002111B1"/>
    <w:rsid w:val="00214ABD"/>
    <w:rsid w:val="00215101"/>
    <w:rsid w:val="00215FC9"/>
    <w:rsid w:val="00222195"/>
    <w:rsid w:val="002235CC"/>
    <w:rsid w:val="002271B6"/>
    <w:rsid w:val="00234059"/>
    <w:rsid w:val="002343D5"/>
    <w:rsid w:val="0023471D"/>
    <w:rsid w:val="0023489E"/>
    <w:rsid w:val="0023693C"/>
    <w:rsid w:val="00244568"/>
    <w:rsid w:val="00245E52"/>
    <w:rsid w:val="00246A41"/>
    <w:rsid w:val="00251173"/>
    <w:rsid w:val="002624AE"/>
    <w:rsid w:val="002636EA"/>
    <w:rsid w:val="002665BD"/>
    <w:rsid w:val="00273E24"/>
    <w:rsid w:val="0027538A"/>
    <w:rsid w:val="002802D2"/>
    <w:rsid w:val="002808CC"/>
    <w:rsid w:val="002840FD"/>
    <w:rsid w:val="00286A9A"/>
    <w:rsid w:val="0029112B"/>
    <w:rsid w:val="002932EF"/>
    <w:rsid w:val="00294B15"/>
    <w:rsid w:val="002A00AC"/>
    <w:rsid w:val="002A1ED8"/>
    <w:rsid w:val="002A475E"/>
    <w:rsid w:val="002A5A97"/>
    <w:rsid w:val="002A6C2D"/>
    <w:rsid w:val="002B5AB4"/>
    <w:rsid w:val="002C3ABB"/>
    <w:rsid w:val="002C4987"/>
    <w:rsid w:val="002C60AF"/>
    <w:rsid w:val="002C613F"/>
    <w:rsid w:val="002C7F9B"/>
    <w:rsid w:val="002D5E32"/>
    <w:rsid w:val="002E0D27"/>
    <w:rsid w:val="002E2D00"/>
    <w:rsid w:val="002E2F2E"/>
    <w:rsid w:val="002F046A"/>
    <w:rsid w:val="002F3FE3"/>
    <w:rsid w:val="002F71D0"/>
    <w:rsid w:val="00307521"/>
    <w:rsid w:val="00310893"/>
    <w:rsid w:val="00311826"/>
    <w:rsid w:val="003139F8"/>
    <w:rsid w:val="00314371"/>
    <w:rsid w:val="003156A6"/>
    <w:rsid w:val="00320A23"/>
    <w:rsid w:val="00323D75"/>
    <w:rsid w:val="00335329"/>
    <w:rsid w:val="0033547F"/>
    <w:rsid w:val="00336CEB"/>
    <w:rsid w:val="00337040"/>
    <w:rsid w:val="00340270"/>
    <w:rsid w:val="00340C26"/>
    <w:rsid w:val="00342156"/>
    <w:rsid w:val="003429F3"/>
    <w:rsid w:val="00343629"/>
    <w:rsid w:val="003441EB"/>
    <w:rsid w:val="00344668"/>
    <w:rsid w:val="00345763"/>
    <w:rsid w:val="00350D5F"/>
    <w:rsid w:val="00352742"/>
    <w:rsid w:val="00352880"/>
    <w:rsid w:val="00353A7A"/>
    <w:rsid w:val="00354B0D"/>
    <w:rsid w:val="003605B2"/>
    <w:rsid w:val="00361E05"/>
    <w:rsid w:val="003639EF"/>
    <w:rsid w:val="00363AEB"/>
    <w:rsid w:val="00364AA2"/>
    <w:rsid w:val="00367CCF"/>
    <w:rsid w:val="00376A3E"/>
    <w:rsid w:val="00380C51"/>
    <w:rsid w:val="00381568"/>
    <w:rsid w:val="003879BE"/>
    <w:rsid w:val="003914D4"/>
    <w:rsid w:val="003946BC"/>
    <w:rsid w:val="003967DA"/>
    <w:rsid w:val="003A1713"/>
    <w:rsid w:val="003A2FA6"/>
    <w:rsid w:val="003A4AC5"/>
    <w:rsid w:val="003A7076"/>
    <w:rsid w:val="003A7EEF"/>
    <w:rsid w:val="003B0B20"/>
    <w:rsid w:val="003B5F63"/>
    <w:rsid w:val="003B7BF4"/>
    <w:rsid w:val="003C16B9"/>
    <w:rsid w:val="003C429E"/>
    <w:rsid w:val="003D0ED1"/>
    <w:rsid w:val="003D0F50"/>
    <w:rsid w:val="003D1216"/>
    <w:rsid w:val="003D5B75"/>
    <w:rsid w:val="003E0C11"/>
    <w:rsid w:val="003E0F5F"/>
    <w:rsid w:val="003E24DE"/>
    <w:rsid w:val="003E69EF"/>
    <w:rsid w:val="003E6A1E"/>
    <w:rsid w:val="003E7D64"/>
    <w:rsid w:val="003F00D5"/>
    <w:rsid w:val="003F3DFE"/>
    <w:rsid w:val="00404626"/>
    <w:rsid w:val="00405B08"/>
    <w:rsid w:val="004132C3"/>
    <w:rsid w:val="00414B1C"/>
    <w:rsid w:val="00416A0B"/>
    <w:rsid w:val="00416D88"/>
    <w:rsid w:val="00417B5E"/>
    <w:rsid w:val="004212C4"/>
    <w:rsid w:val="0042183B"/>
    <w:rsid w:val="00422BBC"/>
    <w:rsid w:val="0042422C"/>
    <w:rsid w:val="00425ADB"/>
    <w:rsid w:val="00425E42"/>
    <w:rsid w:val="0042699D"/>
    <w:rsid w:val="0043032B"/>
    <w:rsid w:val="00434E81"/>
    <w:rsid w:val="004352BD"/>
    <w:rsid w:val="00437981"/>
    <w:rsid w:val="00437B8B"/>
    <w:rsid w:val="00443B77"/>
    <w:rsid w:val="00444110"/>
    <w:rsid w:val="004448BE"/>
    <w:rsid w:val="00444A3A"/>
    <w:rsid w:val="00447B6B"/>
    <w:rsid w:val="0045212F"/>
    <w:rsid w:val="004524CF"/>
    <w:rsid w:val="004528F9"/>
    <w:rsid w:val="0045520F"/>
    <w:rsid w:val="004562C7"/>
    <w:rsid w:val="00456DA0"/>
    <w:rsid w:val="0046077D"/>
    <w:rsid w:val="004678DD"/>
    <w:rsid w:val="0047410F"/>
    <w:rsid w:val="00475828"/>
    <w:rsid w:val="0048374B"/>
    <w:rsid w:val="004857C3"/>
    <w:rsid w:val="00486344"/>
    <w:rsid w:val="00487D79"/>
    <w:rsid w:val="00494BFE"/>
    <w:rsid w:val="004958A8"/>
    <w:rsid w:val="004962E8"/>
    <w:rsid w:val="00497164"/>
    <w:rsid w:val="004A14BA"/>
    <w:rsid w:val="004A192E"/>
    <w:rsid w:val="004A1FB1"/>
    <w:rsid w:val="004A2131"/>
    <w:rsid w:val="004A2DEB"/>
    <w:rsid w:val="004A61AD"/>
    <w:rsid w:val="004A6DC6"/>
    <w:rsid w:val="004A7B49"/>
    <w:rsid w:val="004B2525"/>
    <w:rsid w:val="004B4301"/>
    <w:rsid w:val="004B5536"/>
    <w:rsid w:val="004B5BD9"/>
    <w:rsid w:val="004B6A5B"/>
    <w:rsid w:val="004B6ABA"/>
    <w:rsid w:val="004B7B54"/>
    <w:rsid w:val="004C0CD8"/>
    <w:rsid w:val="004C3B1C"/>
    <w:rsid w:val="004C6F88"/>
    <w:rsid w:val="004D096B"/>
    <w:rsid w:val="004D3EC8"/>
    <w:rsid w:val="004D4DF2"/>
    <w:rsid w:val="004D7303"/>
    <w:rsid w:val="004D7849"/>
    <w:rsid w:val="004E1D1C"/>
    <w:rsid w:val="004E1DD0"/>
    <w:rsid w:val="004F1219"/>
    <w:rsid w:val="004F5F79"/>
    <w:rsid w:val="004F72C8"/>
    <w:rsid w:val="00501D61"/>
    <w:rsid w:val="005026D6"/>
    <w:rsid w:val="0050284C"/>
    <w:rsid w:val="0050634B"/>
    <w:rsid w:val="00506E4A"/>
    <w:rsid w:val="00507681"/>
    <w:rsid w:val="00513156"/>
    <w:rsid w:val="00516FB6"/>
    <w:rsid w:val="005228BA"/>
    <w:rsid w:val="00534ED0"/>
    <w:rsid w:val="0054010D"/>
    <w:rsid w:val="00540D8C"/>
    <w:rsid w:val="00540EA2"/>
    <w:rsid w:val="005415C8"/>
    <w:rsid w:val="00546980"/>
    <w:rsid w:val="00551B29"/>
    <w:rsid w:val="00554BE2"/>
    <w:rsid w:val="00560D47"/>
    <w:rsid w:val="00563230"/>
    <w:rsid w:val="005668D0"/>
    <w:rsid w:val="00574E35"/>
    <w:rsid w:val="00575977"/>
    <w:rsid w:val="005773A2"/>
    <w:rsid w:val="00582A5F"/>
    <w:rsid w:val="005831DC"/>
    <w:rsid w:val="00583B89"/>
    <w:rsid w:val="005845EC"/>
    <w:rsid w:val="00585C48"/>
    <w:rsid w:val="0059046A"/>
    <w:rsid w:val="005917FB"/>
    <w:rsid w:val="00593DE3"/>
    <w:rsid w:val="00594F33"/>
    <w:rsid w:val="00596DE9"/>
    <w:rsid w:val="00597FED"/>
    <w:rsid w:val="005A094A"/>
    <w:rsid w:val="005A2A8B"/>
    <w:rsid w:val="005A3723"/>
    <w:rsid w:val="005B1DD0"/>
    <w:rsid w:val="005B2EA5"/>
    <w:rsid w:val="005B406E"/>
    <w:rsid w:val="005C52D7"/>
    <w:rsid w:val="005C7AA2"/>
    <w:rsid w:val="005D4ACB"/>
    <w:rsid w:val="005D5CE6"/>
    <w:rsid w:val="005D5F2E"/>
    <w:rsid w:val="005D6759"/>
    <w:rsid w:val="005E429B"/>
    <w:rsid w:val="005F240C"/>
    <w:rsid w:val="005F3D3B"/>
    <w:rsid w:val="005F4895"/>
    <w:rsid w:val="005F6033"/>
    <w:rsid w:val="005F63DC"/>
    <w:rsid w:val="005F78B8"/>
    <w:rsid w:val="00600119"/>
    <w:rsid w:val="0060210E"/>
    <w:rsid w:val="00602235"/>
    <w:rsid w:val="00606FA3"/>
    <w:rsid w:val="0060743B"/>
    <w:rsid w:val="00613CA5"/>
    <w:rsid w:val="00614D3B"/>
    <w:rsid w:val="00620F72"/>
    <w:rsid w:val="00620F90"/>
    <w:rsid w:val="006210FC"/>
    <w:rsid w:val="006213AA"/>
    <w:rsid w:val="006246F8"/>
    <w:rsid w:val="00631A4C"/>
    <w:rsid w:val="00634A6B"/>
    <w:rsid w:val="0063533D"/>
    <w:rsid w:val="00637413"/>
    <w:rsid w:val="0064051E"/>
    <w:rsid w:val="00640594"/>
    <w:rsid w:val="00641659"/>
    <w:rsid w:val="006451D0"/>
    <w:rsid w:val="00646DB0"/>
    <w:rsid w:val="006470D7"/>
    <w:rsid w:val="006617B1"/>
    <w:rsid w:val="00663E7A"/>
    <w:rsid w:val="00664B41"/>
    <w:rsid w:val="00665E2C"/>
    <w:rsid w:val="006677D1"/>
    <w:rsid w:val="006702F7"/>
    <w:rsid w:val="00670449"/>
    <w:rsid w:val="00670D2D"/>
    <w:rsid w:val="0067167D"/>
    <w:rsid w:val="00673F80"/>
    <w:rsid w:val="006749B6"/>
    <w:rsid w:val="00676D11"/>
    <w:rsid w:val="00681FE3"/>
    <w:rsid w:val="00686364"/>
    <w:rsid w:val="00691D24"/>
    <w:rsid w:val="00691DF4"/>
    <w:rsid w:val="00692E6F"/>
    <w:rsid w:val="006935DE"/>
    <w:rsid w:val="006A020E"/>
    <w:rsid w:val="006A07FE"/>
    <w:rsid w:val="006A2053"/>
    <w:rsid w:val="006A4D19"/>
    <w:rsid w:val="006A7567"/>
    <w:rsid w:val="006B2805"/>
    <w:rsid w:val="006B3ED9"/>
    <w:rsid w:val="006B4F1C"/>
    <w:rsid w:val="006B5859"/>
    <w:rsid w:val="006C3CBD"/>
    <w:rsid w:val="006C463F"/>
    <w:rsid w:val="006C7C88"/>
    <w:rsid w:val="006D0BCA"/>
    <w:rsid w:val="006D59AB"/>
    <w:rsid w:val="006D5A39"/>
    <w:rsid w:val="006E0C30"/>
    <w:rsid w:val="006E1A97"/>
    <w:rsid w:val="006E5FA7"/>
    <w:rsid w:val="006E637D"/>
    <w:rsid w:val="006F0337"/>
    <w:rsid w:val="006F0E40"/>
    <w:rsid w:val="006F18ED"/>
    <w:rsid w:val="006F4EE2"/>
    <w:rsid w:val="006F6259"/>
    <w:rsid w:val="006F6A35"/>
    <w:rsid w:val="00701222"/>
    <w:rsid w:val="00701879"/>
    <w:rsid w:val="00701917"/>
    <w:rsid w:val="007108EB"/>
    <w:rsid w:val="00712A38"/>
    <w:rsid w:val="00712AB0"/>
    <w:rsid w:val="007143E3"/>
    <w:rsid w:val="00715E9D"/>
    <w:rsid w:val="00715F6B"/>
    <w:rsid w:val="007164CA"/>
    <w:rsid w:val="00720FF3"/>
    <w:rsid w:val="00721204"/>
    <w:rsid w:val="007224D9"/>
    <w:rsid w:val="00723A7D"/>
    <w:rsid w:val="0073042E"/>
    <w:rsid w:val="007312AF"/>
    <w:rsid w:val="0074000F"/>
    <w:rsid w:val="007415D6"/>
    <w:rsid w:val="00746E56"/>
    <w:rsid w:val="0075139A"/>
    <w:rsid w:val="00754D05"/>
    <w:rsid w:val="00754D1A"/>
    <w:rsid w:val="007615FA"/>
    <w:rsid w:val="00762668"/>
    <w:rsid w:val="00763F7E"/>
    <w:rsid w:val="00765F50"/>
    <w:rsid w:val="00773792"/>
    <w:rsid w:val="007745B4"/>
    <w:rsid w:val="007762BF"/>
    <w:rsid w:val="00776629"/>
    <w:rsid w:val="0078056E"/>
    <w:rsid w:val="00781FE2"/>
    <w:rsid w:val="007823D9"/>
    <w:rsid w:val="00782490"/>
    <w:rsid w:val="007861EB"/>
    <w:rsid w:val="00787256"/>
    <w:rsid w:val="00790ED2"/>
    <w:rsid w:val="00791261"/>
    <w:rsid w:val="00795C81"/>
    <w:rsid w:val="00796478"/>
    <w:rsid w:val="00797DE7"/>
    <w:rsid w:val="007A2EFA"/>
    <w:rsid w:val="007A44A9"/>
    <w:rsid w:val="007A5828"/>
    <w:rsid w:val="007B28ED"/>
    <w:rsid w:val="007B6783"/>
    <w:rsid w:val="007B6A42"/>
    <w:rsid w:val="007B6B46"/>
    <w:rsid w:val="007B6C7F"/>
    <w:rsid w:val="007C16BA"/>
    <w:rsid w:val="007C264B"/>
    <w:rsid w:val="007C4431"/>
    <w:rsid w:val="007C5A02"/>
    <w:rsid w:val="007C7416"/>
    <w:rsid w:val="007D0CF2"/>
    <w:rsid w:val="007D2789"/>
    <w:rsid w:val="007D6CDE"/>
    <w:rsid w:val="007D70BB"/>
    <w:rsid w:val="007D731A"/>
    <w:rsid w:val="007D761A"/>
    <w:rsid w:val="007E0684"/>
    <w:rsid w:val="007F108F"/>
    <w:rsid w:val="007F1449"/>
    <w:rsid w:val="007F6661"/>
    <w:rsid w:val="007F7F22"/>
    <w:rsid w:val="008020AC"/>
    <w:rsid w:val="00806AC0"/>
    <w:rsid w:val="0080767F"/>
    <w:rsid w:val="00807B95"/>
    <w:rsid w:val="00807D84"/>
    <w:rsid w:val="00810E9D"/>
    <w:rsid w:val="008120DB"/>
    <w:rsid w:val="0081364F"/>
    <w:rsid w:val="00815D9E"/>
    <w:rsid w:val="00817930"/>
    <w:rsid w:val="008213AD"/>
    <w:rsid w:val="008221A1"/>
    <w:rsid w:val="00826F99"/>
    <w:rsid w:val="008322AE"/>
    <w:rsid w:val="00832624"/>
    <w:rsid w:val="0083357E"/>
    <w:rsid w:val="008335B6"/>
    <w:rsid w:val="0083699D"/>
    <w:rsid w:val="008427C7"/>
    <w:rsid w:val="00845950"/>
    <w:rsid w:val="00847383"/>
    <w:rsid w:val="00852E6D"/>
    <w:rsid w:val="00854239"/>
    <w:rsid w:val="00854C32"/>
    <w:rsid w:val="008604A3"/>
    <w:rsid w:val="00860820"/>
    <w:rsid w:val="008646DB"/>
    <w:rsid w:val="008741DC"/>
    <w:rsid w:val="00884ABE"/>
    <w:rsid w:val="008905CD"/>
    <w:rsid w:val="00891814"/>
    <w:rsid w:val="008933D2"/>
    <w:rsid w:val="0089393E"/>
    <w:rsid w:val="008A05BD"/>
    <w:rsid w:val="008A1661"/>
    <w:rsid w:val="008A4ABD"/>
    <w:rsid w:val="008A7372"/>
    <w:rsid w:val="008B173C"/>
    <w:rsid w:val="008B32CF"/>
    <w:rsid w:val="008B4D6C"/>
    <w:rsid w:val="008C00F8"/>
    <w:rsid w:val="008D132F"/>
    <w:rsid w:val="008D1CD0"/>
    <w:rsid w:val="008D2EAC"/>
    <w:rsid w:val="008D30DD"/>
    <w:rsid w:val="008D3797"/>
    <w:rsid w:val="008D73F0"/>
    <w:rsid w:val="008E25C8"/>
    <w:rsid w:val="008E579B"/>
    <w:rsid w:val="008E68B8"/>
    <w:rsid w:val="008E7845"/>
    <w:rsid w:val="008F0499"/>
    <w:rsid w:val="008F53A3"/>
    <w:rsid w:val="008F5975"/>
    <w:rsid w:val="008F656E"/>
    <w:rsid w:val="008F6D52"/>
    <w:rsid w:val="00903E23"/>
    <w:rsid w:val="009201AE"/>
    <w:rsid w:val="00922A7F"/>
    <w:rsid w:val="00923005"/>
    <w:rsid w:val="0092691A"/>
    <w:rsid w:val="00930033"/>
    <w:rsid w:val="0093109B"/>
    <w:rsid w:val="00932BD3"/>
    <w:rsid w:val="00934336"/>
    <w:rsid w:val="0093481B"/>
    <w:rsid w:val="00936D97"/>
    <w:rsid w:val="009430D2"/>
    <w:rsid w:val="009449DC"/>
    <w:rsid w:val="0094602E"/>
    <w:rsid w:val="0095034A"/>
    <w:rsid w:val="00950EE5"/>
    <w:rsid w:val="0095132D"/>
    <w:rsid w:val="00952D2D"/>
    <w:rsid w:val="00954F1A"/>
    <w:rsid w:val="009619D9"/>
    <w:rsid w:val="00961F45"/>
    <w:rsid w:val="009624DC"/>
    <w:rsid w:val="00962B70"/>
    <w:rsid w:val="009703BF"/>
    <w:rsid w:val="0097173C"/>
    <w:rsid w:val="009809F5"/>
    <w:rsid w:val="00983983"/>
    <w:rsid w:val="00985137"/>
    <w:rsid w:val="009855C8"/>
    <w:rsid w:val="00985CF4"/>
    <w:rsid w:val="0099039F"/>
    <w:rsid w:val="00990517"/>
    <w:rsid w:val="00991BE5"/>
    <w:rsid w:val="00991E43"/>
    <w:rsid w:val="00994065"/>
    <w:rsid w:val="009A049C"/>
    <w:rsid w:val="009A2002"/>
    <w:rsid w:val="009A4037"/>
    <w:rsid w:val="009A4D5A"/>
    <w:rsid w:val="009A77A0"/>
    <w:rsid w:val="009B14C7"/>
    <w:rsid w:val="009B2C3A"/>
    <w:rsid w:val="009B4BEE"/>
    <w:rsid w:val="009B5E67"/>
    <w:rsid w:val="009B6BBF"/>
    <w:rsid w:val="009C0688"/>
    <w:rsid w:val="009C08B8"/>
    <w:rsid w:val="009C3D9C"/>
    <w:rsid w:val="009C4974"/>
    <w:rsid w:val="009C59B3"/>
    <w:rsid w:val="009D073E"/>
    <w:rsid w:val="009D078F"/>
    <w:rsid w:val="009D0C9E"/>
    <w:rsid w:val="009D1A6A"/>
    <w:rsid w:val="009D2A9A"/>
    <w:rsid w:val="009D7E65"/>
    <w:rsid w:val="009E2584"/>
    <w:rsid w:val="009E6080"/>
    <w:rsid w:val="009E65E3"/>
    <w:rsid w:val="009F011E"/>
    <w:rsid w:val="009F0306"/>
    <w:rsid w:val="009F1081"/>
    <w:rsid w:val="009F1832"/>
    <w:rsid w:val="009F2EC7"/>
    <w:rsid w:val="009F66F7"/>
    <w:rsid w:val="00A01477"/>
    <w:rsid w:val="00A03B7F"/>
    <w:rsid w:val="00A04FD8"/>
    <w:rsid w:val="00A05538"/>
    <w:rsid w:val="00A06F11"/>
    <w:rsid w:val="00A0754A"/>
    <w:rsid w:val="00A07DBF"/>
    <w:rsid w:val="00A10247"/>
    <w:rsid w:val="00A1122A"/>
    <w:rsid w:val="00A15B54"/>
    <w:rsid w:val="00A17FE7"/>
    <w:rsid w:val="00A2370D"/>
    <w:rsid w:val="00A256AC"/>
    <w:rsid w:val="00A27F51"/>
    <w:rsid w:val="00A33BB6"/>
    <w:rsid w:val="00A40CB7"/>
    <w:rsid w:val="00A40EB0"/>
    <w:rsid w:val="00A434B7"/>
    <w:rsid w:val="00A45708"/>
    <w:rsid w:val="00A46096"/>
    <w:rsid w:val="00A46A98"/>
    <w:rsid w:val="00A47301"/>
    <w:rsid w:val="00A5057E"/>
    <w:rsid w:val="00A50839"/>
    <w:rsid w:val="00A527E3"/>
    <w:rsid w:val="00A5447E"/>
    <w:rsid w:val="00A54562"/>
    <w:rsid w:val="00A54B77"/>
    <w:rsid w:val="00A55792"/>
    <w:rsid w:val="00A56883"/>
    <w:rsid w:val="00A57015"/>
    <w:rsid w:val="00A61765"/>
    <w:rsid w:val="00A662E3"/>
    <w:rsid w:val="00A717FB"/>
    <w:rsid w:val="00A736F2"/>
    <w:rsid w:val="00A75E97"/>
    <w:rsid w:val="00A76F3B"/>
    <w:rsid w:val="00A80F95"/>
    <w:rsid w:val="00A81CC0"/>
    <w:rsid w:val="00A85B40"/>
    <w:rsid w:val="00A86DA1"/>
    <w:rsid w:val="00A90954"/>
    <w:rsid w:val="00A9706B"/>
    <w:rsid w:val="00A97084"/>
    <w:rsid w:val="00AA234F"/>
    <w:rsid w:val="00AA2BE1"/>
    <w:rsid w:val="00AA3549"/>
    <w:rsid w:val="00AA5127"/>
    <w:rsid w:val="00AA6714"/>
    <w:rsid w:val="00AB32E2"/>
    <w:rsid w:val="00AC060E"/>
    <w:rsid w:val="00AD36A5"/>
    <w:rsid w:val="00AD4E43"/>
    <w:rsid w:val="00AD7329"/>
    <w:rsid w:val="00AE0137"/>
    <w:rsid w:val="00AE29B9"/>
    <w:rsid w:val="00AE6CF6"/>
    <w:rsid w:val="00AE74F7"/>
    <w:rsid w:val="00AE7BBA"/>
    <w:rsid w:val="00AE7F3C"/>
    <w:rsid w:val="00AF0C58"/>
    <w:rsid w:val="00AF23CD"/>
    <w:rsid w:val="00AF2E34"/>
    <w:rsid w:val="00AF7151"/>
    <w:rsid w:val="00B014ED"/>
    <w:rsid w:val="00B03DD9"/>
    <w:rsid w:val="00B109B5"/>
    <w:rsid w:val="00B11892"/>
    <w:rsid w:val="00B13A33"/>
    <w:rsid w:val="00B17C26"/>
    <w:rsid w:val="00B2291A"/>
    <w:rsid w:val="00B23FF6"/>
    <w:rsid w:val="00B24E6E"/>
    <w:rsid w:val="00B2637E"/>
    <w:rsid w:val="00B263CE"/>
    <w:rsid w:val="00B26E60"/>
    <w:rsid w:val="00B341EB"/>
    <w:rsid w:val="00B345FA"/>
    <w:rsid w:val="00B3556C"/>
    <w:rsid w:val="00B3733D"/>
    <w:rsid w:val="00B45F41"/>
    <w:rsid w:val="00B464B9"/>
    <w:rsid w:val="00B53449"/>
    <w:rsid w:val="00B541E7"/>
    <w:rsid w:val="00B55F2F"/>
    <w:rsid w:val="00B5794F"/>
    <w:rsid w:val="00B61856"/>
    <w:rsid w:val="00B61CE9"/>
    <w:rsid w:val="00B62420"/>
    <w:rsid w:val="00B65A30"/>
    <w:rsid w:val="00B679D6"/>
    <w:rsid w:val="00B71551"/>
    <w:rsid w:val="00B7284F"/>
    <w:rsid w:val="00B72C36"/>
    <w:rsid w:val="00B80665"/>
    <w:rsid w:val="00B80A6C"/>
    <w:rsid w:val="00B80F4B"/>
    <w:rsid w:val="00B82561"/>
    <w:rsid w:val="00B82C42"/>
    <w:rsid w:val="00B872BA"/>
    <w:rsid w:val="00B91616"/>
    <w:rsid w:val="00B937D1"/>
    <w:rsid w:val="00BA47FE"/>
    <w:rsid w:val="00BA4A6D"/>
    <w:rsid w:val="00BA58A6"/>
    <w:rsid w:val="00BA5920"/>
    <w:rsid w:val="00BB08D4"/>
    <w:rsid w:val="00BB252E"/>
    <w:rsid w:val="00BB26C8"/>
    <w:rsid w:val="00BB2740"/>
    <w:rsid w:val="00BB2763"/>
    <w:rsid w:val="00BB2AC2"/>
    <w:rsid w:val="00BC787A"/>
    <w:rsid w:val="00BD0A83"/>
    <w:rsid w:val="00BD14F2"/>
    <w:rsid w:val="00BD5DEA"/>
    <w:rsid w:val="00BD72D0"/>
    <w:rsid w:val="00BD7FFB"/>
    <w:rsid w:val="00BE12BE"/>
    <w:rsid w:val="00BE2668"/>
    <w:rsid w:val="00BE26A6"/>
    <w:rsid w:val="00BE2FED"/>
    <w:rsid w:val="00BE726B"/>
    <w:rsid w:val="00BF0949"/>
    <w:rsid w:val="00BF2875"/>
    <w:rsid w:val="00BF445C"/>
    <w:rsid w:val="00BF71E5"/>
    <w:rsid w:val="00C01C73"/>
    <w:rsid w:val="00C02B64"/>
    <w:rsid w:val="00C07029"/>
    <w:rsid w:val="00C1002A"/>
    <w:rsid w:val="00C10AA9"/>
    <w:rsid w:val="00C12F71"/>
    <w:rsid w:val="00C16BEA"/>
    <w:rsid w:val="00C26B00"/>
    <w:rsid w:val="00C26B48"/>
    <w:rsid w:val="00C270D5"/>
    <w:rsid w:val="00C277D6"/>
    <w:rsid w:val="00C30187"/>
    <w:rsid w:val="00C35164"/>
    <w:rsid w:val="00C37203"/>
    <w:rsid w:val="00C37FA4"/>
    <w:rsid w:val="00C40570"/>
    <w:rsid w:val="00C41EB7"/>
    <w:rsid w:val="00C43164"/>
    <w:rsid w:val="00C43682"/>
    <w:rsid w:val="00C47ED8"/>
    <w:rsid w:val="00C50C2C"/>
    <w:rsid w:val="00C56C02"/>
    <w:rsid w:val="00C653B9"/>
    <w:rsid w:val="00C712C4"/>
    <w:rsid w:val="00C71E26"/>
    <w:rsid w:val="00C7201A"/>
    <w:rsid w:val="00C7289F"/>
    <w:rsid w:val="00C74CD5"/>
    <w:rsid w:val="00C75D85"/>
    <w:rsid w:val="00C763C3"/>
    <w:rsid w:val="00C82260"/>
    <w:rsid w:val="00C92A72"/>
    <w:rsid w:val="00C95733"/>
    <w:rsid w:val="00CA242B"/>
    <w:rsid w:val="00CA3365"/>
    <w:rsid w:val="00CB0F7E"/>
    <w:rsid w:val="00CB20A2"/>
    <w:rsid w:val="00CB2251"/>
    <w:rsid w:val="00CB27D3"/>
    <w:rsid w:val="00CB2C9C"/>
    <w:rsid w:val="00CB3B0E"/>
    <w:rsid w:val="00CB798E"/>
    <w:rsid w:val="00CB7DB6"/>
    <w:rsid w:val="00CC1D27"/>
    <w:rsid w:val="00CC2AF4"/>
    <w:rsid w:val="00CC32FA"/>
    <w:rsid w:val="00CC4A36"/>
    <w:rsid w:val="00CC4E01"/>
    <w:rsid w:val="00CC7540"/>
    <w:rsid w:val="00CC75F3"/>
    <w:rsid w:val="00CC77B1"/>
    <w:rsid w:val="00CC7831"/>
    <w:rsid w:val="00CC7E76"/>
    <w:rsid w:val="00CF0409"/>
    <w:rsid w:val="00CF218D"/>
    <w:rsid w:val="00CF43BE"/>
    <w:rsid w:val="00CF60BC"/>
    <w:rsid w:val="00CF774F"/>
    <w:rsid w:val="00D01476"/>
    <w:rsid w:val="00D02118"/>
    <w:rsid w:val="00D03B79"/>
    <w:rsid w:val="00D13B58"/>
    <w:rsid w:val="00D1653C"/>
    <w:rsid w:val="00D20902"/>
    <w:rsid w:val="00D22F47"/>
    <w:rsid w:val="00D24347"/>
    <w:rsid w:val="00D30624"/>
    <w:rsid w:val="00D30A29"/>
    <w:rsid w:val="00D3609E"/>
    <w:rsid w:val="00D36204"/>
    <w:rsid w:val="00D36B73"/>
    <w:rsid w:val="00D37070"/>
    <w:rsid w:val="00D41C92"/>
    <w:rsid w:val="00D420C3"/>
    <w:rsid w:val="00D42A41"/>
    <w:rsid w:val="00D46AD7"/>
    <w:rsid w:val="00D4722C"/>
    <w:rsid w:val="00D479AE"/>
    <w:rsid w:val="00D51D0A"/>
    <w:rsid w:val="00D534AD"/>
    <w:rsid w:val="00D670DD"/>
    <w:rsid w:val="00D70392"/>
    <w:rsid w:val="00D7469A"/>
    <w:rsid w:val="00D76BF9"/>
    <w:rsid w:val="00D76F40"/>
    <w:rsid w:val="00D8200D"/>
    <w:rsid w:val="00D840D1"/>
    <w:rsid w:val="00D847EC"/>
    <w:rsid w:val="00D85347"/>
    <w:rsid w:val="00D87280"/>
    <w:rsid w:val="00D90A5C"/>
    <w:rsid w:val="00D90CC4"/>
    <w:rsid w:val="00D92BE0"/>
    <w:rsid w:val="00D92C4F"/>
    <w:rsid w:val="00D94407"/>
    <w:rsid w:val="00D94BA4"/>
    <w:rsid w:val="00D952EA"/>
    <w:rsid w:val="00D97776"/>
    <w:rsid w:val="00DA25E7"/>
    <w:rsid w:val="00DA5A7A"/>
    <w:rsid w:val="00DB3E68"/>
    <w:rsid w:val="00DB5671"/>
    <w:rsid w:val="00DC003F"/>
    <w:rsid w:val="00DC1C57"/>
    <w:rsid w:val="00DC1D9D"/>
    <w:rsid w:val="00DC59E0"/>
    <w:rsid w:val="00DD0236"/>
    <w:rsid w:val="00DD347F"/>
    <w:rsid w:val="00DD5B8A"/>
    <w:rsid w:val="00DD6ED8"/>
    <w:rsid w:val="00DE2817"/>
    <w:rsid w:val="00DE3FB5"/>
    <w:rsid w:val="00DE44CA"/>
    <w:rsid w:val="00DE47A3"/>
    <w:rsid w:val="00DE5073"/>
    <w:rsid w:val="00DE65DC"/>
    <w:rsid w:val="00DE7FAF"/>
    <w:rsid w:val="00DF44B9"/>
    <w:rsid w:val="00DF5F76"/>
    <w:rsid w:val="00DF6B75"/>
    <w:rsid w:val="00DF7F45"/>
    <w:rsid w:val="00E0021B"/>
    <w:rsid w:val="00E02C2B"/>
    <w:rsid w:val="00E067E4"/>
    <w:rsid w:val="00E12E0B"/>
    <w:rsid w:val="00E15425"/>
    <w:rsid w:val="00E16459"/>
    <w:rsid w:val="00E16CC7"/>
    <w:rsid w:val="00E21DBD"/>
    <w:rsid w:val="00E21FC8"/>
    <w:rsid w:val="00E2224B"/>
    <w:rsid w:val="00E23BA3"/>
    <w:rsid w:val="00E24AFD"/>
    <w:rsid w:val="00E26041"/>
    <w:rsid w:val="00E3364D"/>
    <w:rsid w:val="00E34CFA"/>
    <w:rsid w:val="00E40079"/>
    <w:rsid w:val="00E4020E"/>
    <w:rsid w:val="00E436E3"/>
    <w:rsid w:val="00E4389C"/>
    <w:rsid w:val="00E44A2A"/>
    <w:rsid w:val="00E47C20"/>
    <w:rsid w:val="00E47CB9"/>
    <w:rsid w:val="00E50141"/>
    <w:rsid w:val="00E51355"/>
    <w:rsid w:val="00E51AFC"/>
    <w:rsid w:val="00E524D7"/>
    <w:rsid w:val="00E52529"/>
    <w:rsid w:val="00E52939"/>
    <w:rsid w:val="00E55A96"/>
    <w:rsid w:val="00E57618"/>
    <w:rsid w:val="00E62791"/>
    <w:rsid w:val="00E63037"/>
    <w:rsid w:val="00E640A9"/>
    <w:rsid w:val="00E64608"/>
    <w:rsid w:val="00E655DD"/>
    <w:rsid w:val="00E6687B"/>
    <w:rsid w:val="00E679CE"/>
    <w:rsid w:val="00E70D33"/>
    <w:rsid w:val="00E71A66"/>
    <w:rsid w:val="00E7210E"/>
    <w:rsid w:val="00E72E27"/>
    <w:rsid w:val="00E76A20"/>
    <w:rsid w:val="00E8566E"/>
    <w:rsid w:val="00E85784"/>
    <w:rsid w:val="00E85898"/>
    <w:rsid w:val="00E85E3B"/>
    <w:rsid w:val="00E877B0"/>
    <w:rsid w:val="00E923B4"/>
    <w:rsid w:val="00E96009"/>
    <w:rsid w:val="00EB4A6C"/>
    <w:rsid w:val="00EB6905"/>
    <w:rsid w:val="00EC1715"/>
    <w:rsid w:val="00EC744F"/>
    <w:rsid w:val="00ED0572"/>
    <w:rsid w:val="00ED4296"/>
    <w:rsid w:val="00ED4700"/>
    <w:rsid w:val="00ED5C2E"/>
    <w:rsid w:val="00ED799C"/>
    <w:rsid w:val="00EE0322"/>
    <w:rsid w:val="00EE1FA1"/>
    <w:rsid w:val="00EE4025"/>
    <w:rsid w:val="00EE7743"/>
    <w:rsid w:val="00F00709"/>
    <w:rsid w:val="00F01777"/>
    <w:rsid w:val="00F02C00"/>
    <w:rsid w:val="00F06571"/>
    <w:rsid w:val="00F06CED"/>
    <w:rsid w:val="00F12535"/>
    <w:rsid w:val="00F126BB"/>
    <w:rsid w:val="00F1331C"/>
    <w:rsid w:val="00F158B4"/>
    <w:rsid w:val="00F15C1A"/>
    <w:rsid w:val="00F17D8E"/>
    <w:rsid w:val="00F20CAF"/>
    <w:rsid w:val="00F210FE"/>
    <w:rsid w:val="00F222E8"/>
    <w:rsid w:val="00F23FC1"/>
    <w:rsid w:val="00F331B4"/>
    <w:rsid w:val="00F374EF"/>
    <w:rsid w:val="00F4393F"/>
    <w:rsid w:val="00F45C44"/>
    <w:rsid w:val="00F47A20"/>
    <w:rsid w:val="00F5060F"/>
    <w:rsid w:val="00F5238C"/>
    <w:rsid w:val="00F538AC"/>
    <w:rsid w:val="00F555A8"/>
    <w:rsid w:val="00F62790"/>
    <w:rsid w:val="00F6695A"/>
    <w:rsid w:val="00F80FB9"/>
    <w:rsid w:val="00F81941"/>
    <w:rsid w:val="00F84629"/>
    <w:rsid w:val="00F84BF2"/>
    <w:rsid w:val="00F87345"/>
    <w:rsid w:val="00F87D88"/>
    <w:rsid w:val="00F91340"/>
    <w:rsid w:val="00F91EEA"/>
    <w:rsid w:val="00F93CB2"/>
    <w:rsid w:val="00F9560A"/>
    <w:rsid w:val="00F9604F"/>
    <w:rsid w:val="00FA0B4E"/>
    <w:rsid w:val="00FA1A2B"/>
    <w:rsid w:val="00FA1F51"/>
    <w:rsid w:val="00FA252D"/>
    <w:rsid w:val="00FA25CA"/>
    <w:rsid w:val="00FA2F8D"/>
    <w:rsid w:val="00FA2FC6"/>
    <w:rsid w:val="00FA3A42"/>
    <w:rsid w:val="00FA4DDE"/>
    <w:rsid w:val="00FA5DE7"/>
    <w:rsid w:val="00FB188A"/>
    <w:rsid w:val="00FB574C"/>
    <w:rsid w:val="00FC0BCF"/>
    <w:rsid w:val="00FC2249"/>
    <w:rsid w:val="00FC3C99"/>
    <w:rsid w:val="00FC4689"/>
    <w:rsid w:val="00FC4E6D"/>
    <w:rsid w:val="00FC5D31"/>
    <w:rsid w:val="00FD0239"/>
    <w:rsid w:val="00FD3AF0"/>
    <w:rsid w:val="00FD4420"/>
    <w:rsid w:val="00FD6708"/>
    <w:rsid w:val="00FE41CD"/>
    <w:rsid w:val="00FE472B"/>
    <w:rsid w:val="00FE6218"/>
    <w:rsid w:val="00FF567B"/>
    <w:rsid w:val="00FF6825"/>
    <w:rsid w:val="00FF69C3"/>
    <w:rsid w:val="00FF71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708"/>
    <w:rPr>
      <w:sz w:val="24"/>
      <w:szCs w:val="24"/>
      <w:lang w:val="ro-RO" w:eastAsia="ro-RO"/>
    </w:rPr>
  </w:style>
  <w:style w:type="paragraph" w:styleId="Heading3">
    <w:name w:val="heading 3"/>
    <w:basedOn w:val="Normal"/>
    <w:next w:val="Normal"/>
    <w:link w:val="Heading3Char"/>
    <w:uiPriority w:val="99"/>
    <w:qFormat/>
    <w:rsid w:val="00FD6708"/>
    <w:pPr>
      <w:keepNext/>
      <w:jc w:val="center"/>
      <w:outlineLvl w:val="2"/>
    </w:pPr>
    <w:rPr>
      <w:b/>
      <w:bCs/>
      <w:sz w:val="26"/>
    </w:rPr>
  </w:style>
  <w:style w:type="paragraph" w:styleId="Heading4">
    <w:name w:val="heading 4"/>
    <w:basedOn w:val="Normal"/>
    <w:next w:val="Normal"/>
    <w:link w:val="Heading4Char"/>
    <w:uiPriority w:val="99"/>
    <w:qFormat/>
    <w:rsid w:val="00FD6708"/>
    <w:pPr>
      <w:keepNext/>
      <w:outlineLvl w:val="3"/>
    </w:pPr>
    <w:rPr>
      <w:b/>
      <w:bCs/>
      <w:sz w:val="20"/>
      <w:lang w:val="fr-FR"/>
    </w:rPr>
  </w:style>
  <w:style w:type="paragraph" w:styleId="Heading5">
    <w:name w:val="heading 5"/>
    <w:basedOn w:val="Normal"/>
    <w:next w:val="Normal"/>
    <w:link w:val="Heading5Char"/>
    <w:uiPriority w:val="99"/>
    <w:qFormat/>
    <w:rsid w:val="00FD6708"/>
    <w:pPr>
      <w:keepNext/>
      <w:outlineLvl w:val="4"/>
    </w:pPr>
    <w:rPr>
      <w:b/>
      <w:bCs/>
      <w:sz w:val="22"/>
      <w:lang w:val="fr-FR"/>
    </w:rPr>
  </w:style>
  <w:style w:type="paragraph" w:styleId="Heading6">
    <w:name w:val="heading 6"/>
    <w:basedOn w:val="Normal"/>
    <w:next w:val="Normal"/>
    <w:link w:val="Heading6Char"/>
    <w:uiPriority w:val="99"/>
    <w:qFormat/>
    <w:rsid w:val="00FD6708"/>
    <w:pPr>
      <w:keepNext/>
      <w:ind w:left="705"/>
      <w:jc w:val="both"/>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A44A9"/>
    <w:rPr>
      <w:rFonts w:ascii="Cambria" w:hAnsi="Cambria" w:cs="Times New Roman"/>
      <w:b/>
      <w:bCs/>
      <w:sz w:val="26"/>
      <w:szCs w:val="26"/>
      <w:lang w:val="ro-RO" w:eastAsia="ro-RO"/>
    </w:rPr>
  </w:style>
  <w:style w:type="character" w:customStyle="1" w:styleId="Heading4Char">
    <w:name w:val="Heading 4 Char"/>
    <w:basedOn w:val="DefaultParagraphFont"/>
    <w:link w:val="Heading4"/>
    <w:uiPriority w:val="99"/>
    <w:semiHidden/>
    <w:locked/>
    <w:rsid w:val="007A44A9"/>
    <w:rPr>
      <w:rFonts w:ascii="Calibri" w:hAnsi="Calibri" w:cs="Times New Roman"/>
      <w:b/>
      <w:bCs/>
      <w:sz w:val="28"/>
      <w:szCs w:val="28"/>
      <w:lang w:val="ro-RO" w:eastAsia="ro-RO"/>
    </w:rPr>
  </w:style>
  <w:style w:type="character" w:customStyle="1" w:styleId="Heading5Char">
    <w:name w:val="Heading 5 Char"/>
    <w:basedOn w:val="DefaultParagraphFont"/>
    <w:link w:val="Heading5"/>
    <w:uiPriority w:val="99"/>
    <w:semiHidden/>
    <w:locked/>
    <w:rsid w:val="007A44A9"/>
    <w:rPr>
      <w:rFonts w:ascii="Calibri" w:hAnsi="Calibri" w:cs="Times New Roman"/>
      <w:b/>
      <w:bCs/>
      <w:i/>
      <w:iCs/>
      <w:sz w:val="26"/>
      <w:szCs w:val="26"/>
      <w:lang w:val="ro-RO" w:eastAsia="ro-RO"/>
    </w:rPr>
  </w:style>
  <w:style w:type="character" w:customStyle="1" w:styleId="Heading6Char">
    <w:name w:val="Heading 6 Char"/>
    <w:basedOn w:val="DefaultParagraphFont"/>
    <w:link w:val="Heading6"/>
    <w:uiPriority w:val="99"/>
    <w:semiHidden/>
    <w:locked/>
    <w:rsid w:val="007A44A9"/>
    <w:rPr>
      <w:rFonts w:ascii="Calibri" w:hAnsi="Calibri" w:cs="Times New Roman"/>
      <w:b/>
      <w:bCs/>
      <w:lang w:val="ro-RO" w:eastAsia="ro-RO"/>
    </w:rPr>
  </w:style>
  <w:style w:type="paragraph" w:styleId="BodyText3">
    <w:name w:val="Body Text 3"/>
    <w:basedOn w:val="Normal"/>
    <w:link w:val="BodyText3Char"/>
    <w:uiPriority w:val="99"/>
    <w:rsid w:val="00FD6708"/>
    <w:pPr>
      <w:jc w:val="both"/>
    </w:pPr>
    <w:rPr>
      <w:sz w:val="28"/>
    </w:rPr>
  </w:style>
  <w:style w:type="character" w:customStyle="1" w:styleId="BodyText3Char">
    <w:name w:val="Body Text 3 Char"/>
    <w:basedOn w:val="DefaultParagraphFont"/>
    <w:link w:val="BodyText3"/>
    <w:uiPriority w:val="99"/>
    <w:semiHidden/>
    <w:locked/>
    <w:rsid w:val="007A44A9"/>
    <w:rPr>
      <w:rFonts w:cs="Times New Roman"/>
      <w:sz w:val="16"/>
      <w:szCs w:val="16"/>
      <w:lang w:val="ro-RO" w:eastAsia="ro-RO"/>
    </w:rPr>
  </w:style>
  <w:style w:type="paragraph" w:styleId="Header">
    <w:name w:val="header"/>
    <w:basedOn w:val="Normal"/>
    <w:link w:val="HeaderChar"/>
    <w:uiPriority w:val="99"/>
    <w:rsid w:val="00FD6708"/>
    <w:pPr>
      <w:tabs>
        <w:tab w:val="center" w:pos="4153"/>
        <w:tab w:val="right" w:pos="8306"/>
      </w:tabs>
    </w:pPr>
  </w:style>
  <w:style w:type="character" w:customStyle="1" w:styleId="HeaderChar">
    <w:name w:val="Header Char"/>
    <w:basedOn w:val="DefaultParagraphFont"/>
    <w:link w:val="Header"/>
    <w:uiPriority w:val="99"/>
    <w:locked/>
    <w:rsid w:val="00FD6708"/>
    <w:rPr>
      <w:rFonts w:cs="Times New Roman"/>
      <w:sz w:val="24"/>
      <w:lang w:val="ro-RO" w:eastAsia="ro-RO"/>
    </w:rPr>
  </w:style>
  <w:style w:type="table" w:styleId="TableGrid">
    <w:name w:val="Table Grid"/>
    <w:basedOn w:val="TableNormal"/>
    <w:uiPriority w:val="99"/>
    <w:rsid w:val="00FD67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oltext1">
    <w:name w:val="articol_text1"/>
    <w:basedOn w:val="DefaultParagraphFont"/>
    <w:uiPriority w:val="99"/>
    <w:rsid w:val="00FD6708"/>
    <w:rPr>
      <w:rFonts w:cs="Times New Roman"/>
    </w:rPr>
  </w:style>
  <w:style w:type="paragraph" w:styleId="BalloonText">
    <w:name w:val="Balloon Text"/>
    <w:basedOn w:val="Normal"/>
    <w:link w:val="BalloonTextChar"/>
    <w:uiPriority w:val="99"/>
    <w:semiHidden/>
    <w:rsid w:val="005228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4A9"/>
    <w:rPr>
      <w:rFonts w:cs="Times New Roman"/>
      <w:sz w:val="2"/>
      <w:lang w:val="ro-RO" w:eastAsia="ro-RO"/>
    </w:rPr>
  </w:style>
  <w:style w:type="paragraph" w:styleId="BodyText2">
    <w:name w:val="Body Text 2"/>
    <w:basedOn w:val="Normal"/>
    <w:link w:val="BodyText2Char"/>
    <w:uiPriority w:val="99"/>
    <w:rsid w:val="005E429B"/>
    <w:pPr>
      <w:spacing w:after="120" w:line="480" w:lineRule="auto"/>
    </w:pPr>
  </w:style>
  <w:style w:type="character" w:customStyle="1" w:styleId="BodyText2Char">
    <w:name w:val="Body Text 2 Char"/>
    <w:basedOn w:val="DefaultParagraphFont"/>
    <w:link w:val="BodyText2"/>
    <w:uiPriority w:val="99"/>
    <w:semiHidden/>
    <w:locked/>
    <w:rsid w:val="007A44A9"/>
    <w:rPr>
      <w:rFonts w:cs="Times New Roman"/>
      <w:sz w:val="24"/>
      <w:szCs w:val="24"/>
      <w:lang w:val="ro-RO" w:eastAsia="ro-RO"/>
    </w:rPr>
  </w:style>
  <w:style w:type="paragraph" w:styleId="ListParagraph">
    <w:name w:val="List Paragraph"/>
    <w:basedOn w:val="Normal"/>
    <w:uiPriority w:val="99"/>
    <w:qFormat/>
    <w:rsid w:val="00A61765"/>
    <w:pPr>
      <w:spacing w:line="276" w:lineRule="auto"/>
      <w:ind w:left="720"/>
      <w:contextualSpacing/>
    </w:pPr>
    <w:rPr>
      <w:szCs w:val="22"/>
      <w:lang w:eastAsia="en-US"/>
    </w:rPr>
  </w:style>
  <w:style w:type="character" w:styleId="Strong">
    <w:name w:val="Strong"/>
    <w:basedOn w:val="DefaultParagraphFont"/>
    <w:uiPriority w:val="99"/>
    <w:qFormat/>
    <w:rsid w:val="00A61765"/>
    <w:rPr>
      <w:rFonts w:cs="Times New Roman"/>
      <w:b/>
    </w:rPr>
  </w:style>
  <w:style w:type="character" w:styleId="Emphasis">
    <w:name w:val="Emphasis"/>
    <w:basedOn w:val="DefaultParagraphFont"/>
    <w:uiPriority w:val="99"/>
    <w:qFormat/>
    <w:rsid w:val="009A049C"/>
    <w:rPr>
      <w:rFonts w:cs="Times New Roman"/>
      <w:i/>
    </w:rPr>
  </w:style>
  <w:style w:type="paragraph" w:customStyle="1" w:styleId="CharChar1Char">
    <w:name w:val="Char Char1 Char"/>
    <w:basedOn w:val="Normal"/>
    <w:uiPriority w:val="99"/>
    <w:rsid w:val="00DF6B75"/>
    <w:rPr>
      <w:lang w:val="pl-PL" w:eastAsia="pl-PL"/>
    </w:rPr>
  </w:style>
  <w:style w:type="character" w:styleId="Hyperlink">
    <w:name w:val="Hyperlink"/>
    <w:basedOn w:val="DefaultParagraphFont"/>
    <w:uiPriority w:val="99"/>
    <w:rsid w:val="00345763"/>
    <w:rPr>
      <w:rFonts w:cs="Times New Roman"/>
      <w:color w:val="0000FF"/>
      <w:u w:val="single"/>
    </w:rPr>
  </w:style>
  <w:style w:type="paragraph" w:customStyle="1" w:styleId="CaracterCaracter1">
    <w:name w:val="Caracter Caracter1"/>
    <w:basedOn w:val="Normal"/>
    <w:uiPriority w:val="99"/>
    <w:rsid w:val="00D847EC"/>
    <w:rPr>
      <w:lang w:val="pl-PL" w:eastAsia="pl-PL"/>
    </w:rPr>
  </w:style>
  <w:style w:type="paragraph" w:styleId="NormalWeb">
    <w:name w:val="Normal (Web)"/>
    <w:basedOn w:val="Normal"/>
    <w:uiPriority w:val="99"/>
    <w:rsid w:val="0045212F"/>
    <w:pPr>
      <w:spacing w:before="100" w:beforeAutospacing="1" w:after="100" w:afterAutospacing="1"/>
    </w:pPr>
    <w:rPr>
      <w:lang w:val="en-US" w:eastAsia="en-US"/>
    </w:rPr>
  </w:style>
  <w:style w:type="paragraph" w:styleId="NoSpacing">
    <w:name w:val="No Spacing"/>
    <w:link w:val="NoSpacingChar"/>
    <w:uiPriority w:val="99"/>
    <w:qFormat/>
    <w:rsid w:val="00FD4420"/>
    <w:rPr>
      <w:rFonts w:ascii="Calibri" w:hAnsi="Calibri"/>
    </w:rPr>
  </w:style>
  <w:style w:type="character" w:customStyle="1" w:styleId="NoSpacingChar">
    <w:name w:val="No Spacing Char"/>
    <w:link w:val="NoSpacing"/>
    <w:uiPriority w:val="99"/>
    <w:locked/>
    <w:rsid w:val="00FD4420"/>
    <w:rPr>
      <w:rFonts w:ascii="Calibri" w:hAnsi="Calibri"/>
      <w:sz w:val="22"/>
      <w:lang w:val="en-US" w:eastAsia="en-US"/>
    </w:rPr>
  </w:style>
  <w:style w:type="paragraph" w:styleId="BodyTextIndent">
    <w:name w:val="Body Text Indent"/>
    <w:basedOn w:val="Normal"/>
    <w:link w:val="BodyTextIndentChar"/>
    <w:uiPriority w:val="99"/>
    <w:rsid w:val="00EB4A6C"/>
    <w:pPr>
      <w:spacing w:after="120"/>
      <w:ind w:left="360"/>
    </w:pPr>
  </w:style>
  <w:style w:type="character" w:customStyle="1" w:styleId="BodyTextIndentChar">
    <w:name w:val="Body Text Indent Char"/>
    <w:basedOn w:val="DefaultParagraphFont"/>
    <w:link w:val="BodyTextIndent"/>
    <w:uiPriority w:val="99"/>
    <w:semiHidden/>
    <w:locked/>
    <w:rsid w:val="007A44A9"/>
    <w:rPr>
      <w:rFonts w:cs="Times New Roman"/>
      <w:sz w:val="24"/>
      <w:szCs w:val="24"/>
      <w:lang w:val="ro-RO" w:eastAsia="ro-RO"/>
    </w:rPr>
  </w:style>
  <w:style w:type="paragraph" w:customStyle="1" w:styleId="BodyText21">
    <w:name w:val="Body Text 21"/>
    <w:basedOn w:val="Normal"/>
    <w:uiPriority w:val="99"/>
    <w:rsid w:val="00A662E3"/>
    <w:pPr>
      <w:overflowPunct w:val="0"/>
      <w:autoSpaceDE w:val="0"/>
      <w:autoSpaceDN w:val="0"/>
      <w:adjustRightInd w:val="0"/>
      <w:jc w:val="both"/>
    </w:pPr>
    <w:rPr>
      <w:sz w:val="28"/>
      <w:szCs w:val="20"/>
    </w:rPr>
  </w:style>
  <w:style w:type="paragraph" w:styleId="FootnoteText">
    <w:name w:val="footnote text"/>
    <w:basedOn w:val="Normal"/>
    <w:link w:val="FootnoteTextChar1"/>
    <w:uiPriority w:val="99"/>
    <w:semiHidden/>
    <w:rsid w:val="00631A4C"/>
    <w:rPr>
      <w:rFonts w:ascii="Calibri" w:hAnsi="Calibri"/>
      <w:sz w:val="20"/>
      <w:szCs w:val="20"/>
    </w:rPr>
  </w:style>
  <w:style w:type="character" w:customStyle="1" w:styleId="FootnoteTextChar">
    <w:name w:val="Footnote Text Char"/>
    <w:basedOn w:val="DefaultParagraphFont"/>
    <w:link w:val="FootnoteText"/>
    <w:uiPriority w:val="99"/>
    <w:semiHidden/>
    <w:locked/>
    <w:rsid w:val="00631A4C"/>
    <w:rPr>
      <w:rFonts w:cs="Times New Roman"/>
      <w:lang w:val="ro-RO" w:eastAsia="ro-RO"/>
    </w:rPr>
  </w:style>
  <w:style w:type="character" w:styleId="FootnoteReference">
    <w:name w:val="footnote reference"/>
    <w:basedOn w:val="DefaultParagraphFont"/>
    <w:uiPriority w:val="99"/>
    <w:semiHidden/>
    <w:rsid w:val="00631A4C"/>
    <w:rPr>
      <w:rFonts w:cs="Times New Roman"/>
      <w:vertAlign w:val="superscript"/>
    </w:rPr>
  </w:style>
  <w:style w:type="character" w:customStyle="1" w:styleId="FootnoteTextChar1">
    <w:name w:val="Footnote Text Char1"/>
    <w:basedOn w:val="DefaultParagraphFont"/>
    <w:link w:val="FootnoteText"/>
    <w:uiPriority w:val="99"/>
    <w:semiHidden/>
    <w:locked/>
    <w:rsid w:val="00631A4C"/>
    <w:rPr>
      <w:rFonts w:ascii="Calibri" w:hAnsi="Calibri" w:cs="Times New Roman"/>
      <w:lang w:val="ro-RO" w:eastAsia="ro-RO"/>
    </w:rPr>
  </w:style>
  <w:style w:type="character" w:customStyle="1" w:styleId="apple-converted-space">
    <w:name w:val="apple-converted-space"/>
    <w:uiPriority w:val="99"/>
    <w:rsid w:val="00631A4C"/>
  </w:style>
  <w:style w:type="character" w:customStyle="1" w:styleId="panchor">
    <w:name w:val="panchor"/>
    <w:uiPriority w:val="99"/>
    <w:rsid w:val="004A61AD"/>
  </w:style>
  <w:style w:type="paragraph" w:styleId="BodyText">
    <w:name w:val="Body Text"/>
    <w:basedOn w:val="Normal"/>
    <w:link w:val="BodyTextChar"/>
    <w:uiPriority w:val="99"/>
    <w:rsid w:val="0078056E"/>
    <w:pPr>
      <w:spacing w:after="120"/>
    </w:pPr>
  </w:style>
  <w:style w:type="character" w:customStyle="1" w:styleId="BodyTextChar">
    <w:name w:val="Body Text Char"/>
    <w:basedOn w:val="DefaultParagraphFont"/>
    <w:link w:val="BodyText"/>
    <w:uiPriority w:val="99"/>
    <w:locked/>
    <w:rsid w:val="0078056E"/>
    <w:rPr>
      <w:rFonts w:cs="Times New Roman"/>
      <w:sz w:val="24"/>
      <w:szCs w:val="24"/>
      <w:lang w:val="ro-RO" w:eastAsia="ro-RO"/>
    </w:rPr>
  </w:style>
  <w:style w:type="character" w:customStyle="1" w:styleId="panchor1">
    <w:name w:val="panchor1"/>
    <w:basedOn w:val="DefaultParagraphFont"/>
    <w:uiPriority w:val="99"/>
    <w:rsid w:val="0078056E"/>
    <w:rPr>
      <w:rFonts w:ascii="Courier New" w:hAnsi="Courier New" w:cs="Courier New"/>
      <w:color w:val="0000FF"/>
      <w:sz w:val="22"/>
      <w:szCs w:val="22"/>
      <w:u w:val="single"/>
    </w:rPr>
  </w:style>
</w:styles>
</file>

<file path=word/webSettings.xml><?xml version="1.0" encoding="utf-8"?>
<w:webSettings xmlns:r="http://schemas.openxmlformats.org/officeDocument/2006/relationships" xmlns:w="http://schemas.openxmlformats.org/wordprocessingml/2006/main">
  <w:divs>
    <w:div w:id="1148478525">
      <w:marLeft w:val="0"/>
      <w:marRight w:val="0"/>
      <w:marTop w:val="0"/>
      <w:marBottom w:val="0"/>
      <w:divBdr>
        <w:top w:val="none" w:sz="0" w:space="0" w:color="auto"/>
        <w:left w:val="none" w:sz="0" w:space="0" w:color="auto"/>
        <w:bottom w:val="none" w:sz="0" w:space="0" w:color="auto"/>
        <w:right w:val="none" w:sz="0" w:space="0" w:color="auto"/>
      </w:divBdr>
    </w:div>
    <w:div w:id="1148478526">
      <w:marLeft w:val="0"/>
      <w:marRight w:val="0"/>
      <w:marTop w:val="0"/>
      <w:marBottom w:val="0"/>
      <w:divBdr>
        <w:top w:val="none" w:sz="0" w:space="0" w:color="auto"/>
        <w:left w:val="none" w:sz="0" w:space="0" w:color="auto"/>
        <w:bottom w:val="none" w:sz="0" w:space="0" w:color="auto"/>
        <w:right w:val="none" w:sz="0" w:space="0" w:color="auto"/>
      </w:divBdr>
    </w:div>
    <w:div w:id="1148478527">
      <w:marLeft w:val="0"/>
      <w:marRight w:val="0"/>
      <w:marTop w:val="0"/>
      <w:marBottom w:val="0"/>
      <w:divBdr>
        <w:top w:val="none" w:sz="0" w:space="0" w:color="auto"/>
        <w:left w:val="none" w:sz="0" w:space="0" w:color="auto"/>
        <w:bottom w:val="none" w:sz="0" w:space="0" w:color="auto"/>
        <w:right w:val="none" w:sz="0" w:space="0" w:color="auto"/>
      </w:divBdr>
    </w:div>
    <w:div w:id="1148478531">
      <w:marLeft w:val="0"/>
      <w:marRight w:val="0"/>
      <w:marTop w:val="0"/>
      <w:marBottom w:val="0"/>
      <w:divBdr>
        <w:top w:val="none" w:sz="0" w:space="0" w:color="auto"/>
        <w:left w:val="none" w:sz="0" w:space="0" w:color="auto"/>
        <w:bottom w:val="none" w:sz="0" w:space="0" w:color="auto"/>
        <w:right w:val="none" w:sz="0" w:space="0" w:color="auto"/>
      </w:divBdr>
    </w:div>
    <w:div w:id="1148478539">
      <w:marLeft w:val="0"/>
      <w:marRight w:val="0"/>
      <w:marTop w:val="0"/>
      <w:marBottom w:val="0"/>
      <w:divBdr>
        <w:top w:val="none" w:sz="0" w:space="0" w:color="auto"/>
        <w:left w:val="none" w:sz="0" w:space="0" w:color="auto"/>
        <w:bottom w:val="none" w:sz="0" w:space="0" w:color="auto"/>
        <w:right w:val="none" w:sz="0" w:space="0" w:color="auto"/>
      </w:divBdr>
      <w:divsChild>
        <w:div w:id="1148478557">
          <w:marLeft w:val="0"/>
          <w:marRight w:val="0"/>
          <w:marTop w:val="0"/>
          <w:marBottom w:val="0"/>
          <w:divBdr>
            <w:top w:val="none" w:sz="0" w:space="0" w:color="auto"/>
            <w:left w:val="none" w:sz="0" w:space="0" w:color="auto"/>
            <w:bottom w:val="none" w:sz="0" w:space="0" w:color="auto"/>
            <w:right w:val="none" w:sz="0" w:space="0" w:color="auto"/>
          </w:divBdr>
        </w:div>
      </w:divsChild>
    </w:div>
    <w:div w:id="1148478540">
      <w:marLeft w:val="0"/>
      <w:marRight w:val="0"/>
      <w:marTop w:val="0"/>
      <w:marBottom w:val="0"/>
      <w:divBdr>
        <w:top w:val="none" w:sz="0" w:space="0" w:color="auto"/>
        <w:left w:val="none" w:sz="0" w:space="0" w:color="auto"/>
        <w:bottom w:val="none" w:sz="0" w:space="0" w:color="auto"/>
        <w:right w:val="none" w:sz="0" w:space="0" w:color="auto"/>
      </w:divBdr>
      <w:divsChild>
        <w:div w:id="1148478543">
          <w:marLeft w:val="0"/>
          <w:marRight w:val="0"/>
          <w:marTop w:val="0"/>
          <w:marBottom w:val="0"/>
          <w:divBdr>
            <w:top w:val="none" w:sz="0" w:space="0" w:color="auto"/>
            <w:left w:val="none" w:sz="0" w:space="0" w:color="auto"/>
            <w:bottom w:val="none" w:sz="0" w:space="0" w:color="auto"/>
            <w:right w:val="none" w:sz="0" w:space="0" w:color="auto"/>
          </w:divBdr>
        </w:div>
      </w:divsChild>
    </w:div>
    <w:div w:id="1148478541">
      <w:marLeft w:val="0"/>
      <w:marRight w:val="0"/>
      <w:marTop w:val="0"/>
      <w:marBottom w:val="0"/>
      <w:divBdr>
        <w:top w:val="none" w:sz="0" w:space="0" w:color="auto"/>
        <w:left w:val="none" w:sz="0" w:space="0" w:color="auto"/>
        <w:bottom w:val="none" w:sz="0" w:space="0" w:color="auto"/>
        <w:right w:val="none" w:sz="0" w:space="0" w:color="auto"/>
      </w:divBdr>
      <w:divsChild>
        <w:div w:id="1148478538">
          <w:marLeft w:val="0"/>
          <w:marRight w:val="0"/>
          <w:marTop w:val="0"/>
          <w:marBottom w:val="0"/>
          <w:divBdr>
            <w:top w:val="none" w:sz="0" w:space="0" w:color="auto"/>
            <w:left w:val="none" w:sz="0" w:space="0" w:color="auto"/>
            <w:bottom w:val="none" w:sz="0" w:space="0" w:color="auto"/>
            <w:right w:val="none" w:sz="0" w:space="0" w:color="auto"/>
          </w:divBdr>
          <w:divsChild>
            <w:div w:id="1148478560">
              <w:marLeft w:val="0"/>
              <w:marRight w:val="0"/>
              <w:marTop w:val="0"/>
              <w:marBottom w:val="0"/>
              <w:divBdr>
                <w:top w:val="none" w:sz="0" w:space="0" w:color="auto"/>
                <w:left w:val="none" w:sz="0" w:space="0" w:color="auto"/>
                <w:bottom w:val="none" w:sz="0" w:space="0" w:color="auto"/>
                <w:right w:val="none" w:sz="0" w:space="0" w:color="auto"/>
              </w:divBdr>
              <w:divsChild>
                <w:div w:id="1148478537">
                  <w:marLeft w:val="0"/>
                  <w:marRight w:val="0"/>
                  <w:marTop w:val="0"/>
                  <w:marBottom w:val="0"/>
                  <w:divBdr>
                    <w:top w:val="none" w:sz="0" w:space="0" w:color="auto"/>
                    <w:left w:val="none" w:sz="0" w:space="0" w:color="auto"/>
                    <w:bottom w:val="none" w:sz="0" w:space="0" w:color="auto"/>
                    <w:right w:val="none" w:sz="0" w:space="0" w:color="auto"/>
                  </w:divBdr>
                  <w:divsChild>
                    <w:div w:id="1148478534">
                      <w:marLeft w:val="0"/>
                      <w:marRight w:val="0"/>
                      <w:marTop w:val="0"/>
                      <w:marBottom w:val="0"/>
                      <w:divBdr>
                        <w:top w:val="none" w:sz="0" w:space="0" w:color="auto"/>
                        <w:left w:val="none" w:sz="0" w:space="0" w:color="auto"/>
                        <w:bottom w:val="none" w:sz="0" w:space="0" w:color="auto"/>
                        <w:right w:val="none" w:sz="0" w:space="0" w:color="auto"/>
                      </w:divBdr>
                      <w:divsChild>
                        <w:div w:id="1148478532">
                          <w:marLeft w:val="0"/>
                          <w:marRight w:val="0"/>
                          <w:marTop w:val="0"/>
                          <w:marBottom w:val="0"/>
                          <w:divBdr>
                            <w:top w:val="none" w:sz="0" w:space="0" w:color="auto"/>
                            <w:left w:val="none" w:sz="0" w:space="0" w:color="auto"/>
                            <w:bottom w:val="none" w:sz="0" w:space="0" w:color="auto"/>
                            <w:right w:val="none" w:sz="0" w:space="0" w:color="auto"/>
                          </w:divBdr>
                          <w:divsChild>
                            <w:div w:id="1148478533">
                              <w:marLeft w:val="0"/>
                              <w:marRight w:val="0"/>
                              <w:marTop w:val="0"/>
                              <w:marBottom w:val="0"/>
                              <w:divBdr>
                                <w:top w:val="none" w:sz="0" w:space="0" w:color="auto"/>
                                <w:left w:val="none" w:sz="0" w:space="0" w:color="auto"/>
                                <w:bottom w:val="none" w:sz="0" w:space="0" w:color="auto"/>
                                <w:right w:val="none" w:sz="0" w:space="0" w:color="auto"/>
                              </w:divBdr>
                              <w:divsChild>
                                <w:div w:id="1148478561">
                                  <w:marLeft w:val="0"/>
                                  <w:marRight w:val="0"/>
                                  <w:marTop w:val="0"/>
                                  <w:marBottom w:val="0"/>
                                  <w:divBdr>
                                    <w:top w:val="none" w:sz="0" w:space="0" w:color="auto"/>
                                    <w:left w:val="none" w:sz="0" w:space="0" w:color="auto"/>
                                    <w:bottom w:val="none" w:sz="0" w:space="0" w:color="auto"/>
                                    <w:right w:val="none" w:sz="0" w:space="0" w:color="auto"/>
                                  </w:divBdr>
                                  <w:divsChild>
                                    <w:div w:id="1148478547">
                                      <w:marLeft w:val="0"/>
                                      <w:marRight w:val="0"/>
                                      <w:marTop w:val="75"/>
                                      <w:marBottom w:val="225"/>
                                      <w:divBdr>
                                        <w:top w:val="none" w:sz="0" w:space="0" w:color="auto"/>
                                        <w:left w:val="none" w:sz="0" w:space="0" w:color="auto"/>
                                        <w:bottom w:val="none" w:sz="0" w:space="0" w:color="auto"/>
                                        <w:right w:val="none" w:sz="0" w:space="0" w:color="auto"/>
                                      </w:divBdr>
                                      <w:divsChild>
                                        <w:div w:id="1148478545">
                                          <w:marLeft w:val="0"/>
                                          <w:marRight w:val="0"/>
                                          <w:marTop w:val="45"/>
                                          <w:marBottom w:val="30"/>
                                          <w:divBdr>
                                            <w:top w:val="none" w:sz="0" w:space="0" w:color="auto"/>
                                            <w:left w:val="none" w:sz="0" w:space="0" w:color="auto"/>
                                            <w:bottom w:val="single" w:sz="2" w:space="4" w:color="9CBDF3"/>
                                            <w:right w:val="none" w:sz="0" w:space="0" w:color="auto"/>
                                          </w:divBdr>
                                        </w:div>
                                      </w:divsChild>
                                    </w:div>
                                  </w:divsChild>
                                </w:div>
                              </w:divsChild>
                            </w:div>
                          </w:divsChild>
                        </w:div>
                      </w:divsChild>
                    </w:div>
                  </w:divsChild>
                </w:div>
              </w:divsChild>
            </w:div>
          </w:divsChild>
        </w:div>
      </w:divsChild>
    </w:div>
    <w:div w:id="1148478544">
      <w:marLeft w:val="0"/>
      <w:marRight w:val="0"/>
      <w:marTop w:val="0"/>
      <w:marBottom w:val="0"/>
      <w:divBdr>
        <w:top w:val="none" w:sz="0" w:space="0" w:color="auto"/>
        <w:left w:val="none" w:sz="0" w:space="0" w:color="auto"/>
        <w:bottom w:val="none" w:sz="0" w:space="0" w:color="auto"/>
        <w:right w:val="none" w:sz="0" w:space="0" w:color="auto"/>
      </w:divBdr>
      <w:divsChild>
        <w:div w:id="1148478552">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sChild>
                <w:div w:id="1148478555">
                  <w:marLeft w:val="0"/>
                  <w:marRight w:val="0"/>
                  <w:marTop w:val="0"/>
                  <w:marBottom w:val="0"/>
                  <w:divBdr>
                    <w:top w:val="none" w:sz="0" w:space="0" w:color="auto"/>
                    <w:left w:val="none" w:sz="0" w:space="0" w:color="auto"/>
                    <w:bottom w:val="none" w:sz="0" w:space="0" w:color="auto"/>
                    <w:right w:val="none" w:sz="0" w:space="0" w:color="auto"/>
                  </w:divBdr>
                  <w:divsChild>
                    <w:div w:id="1148478535">
                      <w:marLeft w:val="0"/>
                      <w:marRight w:val="0"/>
                      <w:marTop w:val="0"/>
                      <w:marBottom w:val="0"/>
                      <w:divBdr>
                        <w:top w:val="none" w:sz="0" w:space="0" w:color="auto"/>
                        <w:left w:val="none" w:sz="0" w:space="0" w:color="auto"/>
                        <w:bottom w:val="none" w:sz="0" w:space="0" w:color="auto"/>
                        <w:right w:val="none" w:sz="0" w:space="0" w:color="auto"/>
                      </w:divBdr>
                      <w:divsChild>
                        <w:div w:id="1148478553">
                          <w:marLeft w:val="0"/>
                          <w:marRight w:val="0"/>
                          <w:marTop w:val="0"/>
                          <w:marBottom w:val="0"/>
                          <w:divBdr>
                            <w:top w:val="none" w:sz="0" w:space="0" w:color="auto"/>
                            <w:left w:val="none" w:sz="0" w:space="0" w:color="auto"/>
                            <w:bottom w:val="none" w:sz="0" w:space="0" w:color="auto"/>
                            <w:right w:val="none" w:sz="0" w:space="0" w:color="auto"/>
                          </w:divBdr>
                          <w:divsChild>
                            <w:div w:id="11484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78550">
      <w:marLeft w:val="0"/>
      <w:marRight w:val="0"/>
      <w:marTop w:val="0"/>
      <w:marBottom w:val="0"/>
      <w:divBdr>
        <w:top w:val="none" w:sz="0" w:space="0" w:color="auto"/>
        <w:left w:val="none" w:sz="0" w:space="0" w:color="auto"/>
        <w:bottom w:val="none" w:sz="0" w:space="0" w:color="auto"/>
        <w:right w:val="none" w:sz="0" w:space="0" w:color="auto"/>
      </w:divBdr>
      <w:divsChild>
        <w:div w:id="1148478549">
          <w:marLeft w:val="0"/>
          <w:marRight w:val="0"/>
          <w:marTop w:val="0"/>
          <w:marBottom w:val="0"/>
          <w:divBdr>
            <w:top w:val="none" w:sz="0" w:space="0" w:color="auto"/>
            <w:left w:val="none" w:sz="0" w:space="0" w:color="auto"/>
            <w:bottom w:val="none" w:sz="0" w:space="0" w:color="auto"/>
            <w:right w:val="none" w:sz="0" w:space="0" w:color="auto"/>
          </w:divBdr>
        </w:div>
      </w:divsChild>
    </w:div>
    <w:div w:id="1148478556">
      <w:marLeft w:val="0"/>
      <w:marRight w:val="0"/>
      <w:marTop w:val="0"/>
      <w:marBottom w:val="0"/>
      <w:divBdr>
        <w:top w:val="none" w:sz="0" w:space="0" w:color="auto"/>
        <w:left w:val="none" w:sz="0" w:space="0" w:color="auto"/>
        <w:bottom w:val="none" w:sz="0" w:space="0" w:color="auto"/>
        <w:right w:val="none" w:sz="0" w:space="0" w:color="auto"/>
      </w:divBdr>
      <w:divsChild>
        <w:div w:id="1148478554">
          <w:marLeft w:val="0"/>
          <w:marRight w:val="0"/>
          <w:marTop w:val="0"/>
          <w:marBottom w:val="0"/>
          <w:divBdr>
            <w:top w:val="none" w:sz="0" w:space="0" w:color="auto"/>
            <w:left w:val="none" w:sz="0" w:space="0" w:color="auto"/>
            <w:bottom w:val="none" w:sz="0" w:space="0" w:color="auto"/>
            <w:right w:val="none" w:sz="0" w:space="0" w:color="auto"/>
          </w:divBdr>
          <w:divsChild>
            <w:div w:id="1148478546">
              <w:marLeft w:val="0"/>
              <w:marRight w:val="0"/>
              <w:marTop w:val="0"/>
              <w:marBottom w:val="0"/>
              <w:divBdr>
                <w:top w:val="none" w:sz="0" w:space="0" w:color="auto"/>
                <w:left w:val="none" w:sz="0" w:space="0" w:color="auto"/>
                <w:bottom w:val="none" w:sz="0" w:space="0" w:color="auto"/>
                <w:right w:val="none" w:sz="0" w:space="0" w:color="auto"/>
              </w:divBdr>
              <w:divsChild>
                <w:div w:id="1148478528">
                  <w:marLeft w:val="0"/>
                  <w:marRight w:val="0"/>
                  <w:marTop w:val="0"/>
                  <w:marBottom w:val="0"/>
                  <w:divBdr>
                    <w:top w:val="none" w:sz="0" w:space="0" w:color="auto"/>
                    <w:left w:val="none" w:sz="0" w:space="0" w:color="auto"/>
                    <w:bottom w:val="none" w:sz="0" w:space="0" w:color="auto"/>
                    <w:right w:val="none" w:sz="0" w:space="0" w:color="auto"/>
                  </w:divBdr>
                  <w:divsChild>
                    <w:div w:id="1148478542">
                      <w:marLeft w:val="0"/>
                      <w:marRight w:val="0"/>
                      <w:marTop w:val="0"/>
                      <w:marBottom w:val="0"/>
                      <w:divBdr>
                        <w:top w:val="none" w:sz="0" w:space="0" w:color="auto"/>
                        <w:left w:val="none" w:sz="0" w:space="0" w:color="auto"/>
                        <w:bottom w:val="none" w:sz="0" w:space="0" w:color="auto"/>
                        <w:right w:val="none" w:sz="0" w:space="0" w:color="auto"/>
                      </w:divBdr>
                      <w:divsChild>
                        <w:div w:id="1148478558">
                          <w:marLeft w:val="0"/>
                          <w:marRight w:val="0"/>
                          <w:marTop w:val="0"/>
                          <w:marBottom w:val="0"/>
                          <w:divBdr>
                            <w:top w:val="none" w:sz="0" w:space="0" w:color="auto"/>
                            <w:left w:val="none" w:sz="0" w:space="0" w:color="auto"/>
                            <w:bottom w:val="none" w:sz="0" w:space="0" w:color="auto"/>
                            <w:right w:val="none" w:sz="0" w:space="0" w:color="auto"/>
                          </w:divBdr>
                          <w:divsChild>
                            <w:div w:id="1148478559">
                              <w:marLeft w:val="0"/>
                              <w:marRight w:val="0"/>
                              <w:marTop w:val="0"/>
                              <w:marBottom w:val="0"/>
                              <w:divBdr>
                                <w:top w:val="none" w:sz="0" w:space="0" w:color="auto"/>
                                <w:left w:val="none" w:sz="0" w:space="0" w:color="auto"/>
                                <w:bottom w:val="none" w:sz="0" w:space="0" w:color="auto"/>
                                <w:right w:val="none" w:sz="0" w:space="0" w:color="auto"/>
                              </w:divBdr>
                              <w:divsChild>
                                <w:div w:id="1148478536">
                                  <w:marLeft w:val="0"/>
                                  <w:marRight w:val="0"/>
                                  <w:marTop w:val="0"/>
                                  <w:marBottom w:val="0"/>
                                  <w:divBdr>
                                    <w:top w:val="none" w:sz="0" w:space="0" w:color="auto"/>
                                    <w:left w:val="none" w:sz="0" w:space="0" w:color="auto"/>
                                    <w:bottom w:val="none" w:sz="0" w:space="0" w:color="auto"/>
                                    <w:right w:val="none" w:sz="0" w:space="0" w:color="auto"/>
                                  </w:divBdr>
                                  <w:divsChild>
                                    <w:div w:id="1148478530">
                                      <w:marLeft w:val="0"/>
                                      <w:marRight w:val="0"/>
                                      <w:marTop w:val="75"/>
                                      <w:marBottom w:val="225"/>
                                      <w:divBdr>
                                        <w:top w:val="none" w:sz="0" w:space="0" w:color="auto"/>
                                        <w:left w:val="none" w:sz="0" w:space="0" w:color="auto"/>
                                        <w:bottom w:val="none" w:sz="0" w:space="0" w:color="auto"/>
                                        <w:right w:val="none" w:sz="0" w:space="0" w:color="auto"/>
                                      </w:divBdr>
                                      <w:divsChild>
                                        <w:div w:id="1148478529">
                                          <w:marLeft w:val="0"/>
                                          <w:marRight w:val="0"/>
                                          <w:marTop w:val="45"/>
                                          <w:marBottom w:val="30"/>
                                          <w:divBdr>
                                            <w:top w:val="none" w:sz="0" w:space="0" w:color="auto"/>
                                            <w:left w:val="none" w:sz="0" w:space="0" w:color="auto"/>
                                            <w:bottom w:val="single" w:sz="2" w:space="4" w:color="9CBDF3"/>
                                            <w:right w:val="none" w:sz="0" w:space="0" w:color="auto"/>
                                          </w:divBdr>
                                        </w:div>
                                      </w:divsChild>
                                    </w:div>
                                  </w:divsChild>
                                </w:div>
                              </w:divsChild>
                            </w:div>
                          </w:divsChild>
                        </w:div>
                      </w:divsChild>
                    </w:div>
                  </w:divsChild>
                </w:div>
              </w:divsChild>
            </w:div>
          </w:divsChild>
        </w:div>
      </w:divsChild>
    </w:div>
    <w:div w:id="1148478562">
      <w:marLeft w:val="0"/>
      <w:marRight w:val="0"/>
      <w:marTop w:val="0"/>
      <w:marBottom w:val="0"/>
      <w:divBdr>
        <w:top w:val="none" w:sz="0" w:space="0" w:color="auto"/>
        <w:left w:val="none" w:sz="0" w:space="0" w:color="auto"/>
        <w:bottom w:val="none" w:sz="0" w:space="0" w:color="auto"/>
        <w:right w:val="none" w:sz="0" w:space="0" w:color="auto"/>
      </w:divBdr>
    </w:div>
    <w:div w:id="1148478563">
      <w:marLeft w:val="0"/>
      <w:marRight w:val="0"/>
      <w:marTop w:val="0"/>
      <w:marBottom w:val="0"/>
      <w:divBdr>
        <w:top w:val="none" w:sz="0" w:space="0" w:color="auto"/>
        <w:left w:val="none" w:sz="0" w:space="0" w:color="auto"/>
        <w:bottom w:val="none" w:sz="0" w:space="0" w:color="auto"/>
        <w:right w:val="none" w:sz="0" w:space="0" w:color="auto"/>
      </w:divBdr>
    </w:div>
    <w:div w:id="1148478564">
      <w:marLeft w:val="0"/>
      <w:marRight w:val="0"/>
      <w:marTop w:val="0"/>
      <w:marBottom w:val="0"/>
      <w:divBdr>
        <w:top w:val="none" w:sz="0" w:space="0" w:color="auto"/>
        <w:left w:val="none" w:sz="0" w:space="0" w:color="auto"/>
        <w:bottom w:val="none" w:sz="0" w:space="0" w:color="auto"/>
        <w:right w:val="none" w:sz="0" w:space="0" w:color="auto"/>
      </w:divBdr>
    </w:div>
    <w:div w:id="1148478565">
      <w:marLeft w:val="0"/>
      <w:marRight w:val="0"/>
      <w:marTop w:val="0"/>
      <w:marBottom w:val="0"/>
      <w:divBdr>
        <w:top w:val="none" w:sz="0" w:space="0" w:color="auto"/>
        <w:left w:val="none" w:sz="0" w:space="0" w:color="auto"/>
        <w:bottom w:val="none" w:sz="0" w:space="0" w:color="auto"/>
        <w:right w:val="none" w:sz="0" w:space="0" w:color="auto"/>
      </w:divBdr>
    </w:div>
    <w:div w:id="1148478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852</Words>
  <Characters>4858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Utilizator</dc:creator>
  <cp:keywords/>
  <dc:description/>
  <cp:lastModifiedBy>Alex</cp:lastModifiedBy>
  <cp:revision>3</cp:revision>
  <cp:lastPrinted>2016-09-04T19:08:00Z</cp:lastPrinted>
  <dcterms:created xsi:type="dcterms:W3CDTF">2016-07-03T15:22:00Z</dcterms:created>
  <dcterms:modified xsi:type="dcterms:W3CDTF">2016-09-04T19:08:00Z</dcterms:modified>
</cp:coreProperties>
</file>